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8E3B" w14:textId="77777777" w:rsidR="0080107F" w:rsidRDefault="00446509">
      <w:pPr>
        <w:pBdr>
          <w:top w:val="nil"/>
          <w:left w:val="nil"/>
          <w:bottom w:val="nil"/>
          <w:right w:val="nil"/>
          <w:between w:val="nil"/>
        </w:pBdr>
        <w:jc w:val="center"/>
        <w:rPr>
          <w:b/>
          <w:color w:val="000000"/>
        </w:rPr>
      </w:pPr>
      <w:r>
        <w:rPr>
          <w:b/>
        </w:rPr>
        <w:t>Exchange</w:t>
      </w:r>
      <w:r>
        <w:rPr>
          <w:b/>
          <w:color w:val="000000"/>
        </w:rPr>
        <w:t xml:space="preserve"> Agreement </w:t>
      </w:r>
    </w:p>
    <w:p w14:paraId="275646E6" w14:textId="77777777" w:rsidR="0080107F" w:rsidRDefault="00446509">
      <w:pPr>
        <w:pBdr>
          <w:top w:val="nil"/>
          <w:left w:val="nil"/>
          <w:bottom w:val="nil"/>
          <w:right w:val="nil"/>
          <w:between w:val="nil"/>
        </w:pBdr>
        <w:jc w:val="center"/>
        <w:rPr>
          <w:b/>
          <w:color w:val="000000"/>
        </w:rPr>
      </w:pPr>
      <w:r>
        <w:rPr>
          <w:b/>
        </w:rPr>
        <w:t>between</w:t>
      </w:r>
      <w:r>
        <w:rPr>
          <w:b/>
          <w:color w:val="000000"/>
        </w:rPr>
        <w:t xml:space="preserve"> </w:t>
      </w:r>
    </w:p>
    <w:p w14:paraId="33EABAC0" w14:textId="60910600" w:rsidR="0080107F" w:rsidRDefault="00446509">
      <w:pPr>
        <w:pBdr>
          <w:top w:val="nil"/>
          <w:left w:val="nil"/>
          <w:bottom w:val="nil"/>
          <w:right w:val="nil"/>
          <w:between w:val="nil"/>
        </w:pBdr>
        <w:jc w:val="center"/>
        <w:rPr>
          <w:b/>
          <w:color w:val="000000"/>
        </w:rPr>
      </w:pPr>
      <w:r>
        <w:rPr>
          <w:b/>
          <w:color w:val="000000"/>
        </w:rPr>
        <w:t>The</w:t>
      </w:r>
      <w:r w:rsidR="00636A06">
        <w:rPr>
          <w:b/>
          <w:color w:val="000000"/>
        </w:rPr>
        <w:t xml:space="preserve"> </w:t>
      </w:r>
      <w:r w:rsidR="00C87982">
        <w:rPr>
          <w:b/>
          <w:color w:val="000000"/>
        </w:rPr>
        <w:t xml:space="preserve">FHNW </w:t>
      </w:r>
      <w:r w:rsidR="00636A06">
        <w:rPr>
          <w:b/>
          <w:color w:val="000000"/>
        </w:rPr>
        <w:t>University of Applied Sciences and Arts Northwestern Switzerland, School of Life Sciences</w:t>
      </w:r>
      <w:r>
        <w:rPr>
          <w:b/>
          <w:color w:val="000000"/>
        </w:rPr>
        <w:t xml:space="preserve">, </w:t>
      </w:r>
      <w:r w:rsidR="00636A06">
        <w:rPr>
          <w:b/>
          <w:color w:val="000000"/>
        </w:rPr>
        <w:t>Switzerland</w:t>
      </w:r>
      <w:r w:rsidR="006D1FC8">
        <w:rPr>
          <w:b/>
          <w:color w:val="000000"/>
        </w:rPr>
        <w:t xml:space="preserve"> </w:t>
      </w:r>
      <w:r>
        <w:rPr>
          <w:b/>
          <w:color w:val="000000"/>
        </w:rPr>
        <w:t>and</w:t>
      </w:r>
    </w:p>
    <w:p w14:paraId="4F0B1F61" w14:textId="77777777" w:rsidR="0080107F" w:rsidRDefault="00446509">
      <w:pPr>
        <w:pBdr>
          <w:top w:val="nil"/>
          <w:left w:val="nil"/>
          <w:bottom w:val="nil"/>
          <w:right w:val="nil"/>
          <w:between w:val="nil"/>
        </w:pBdr>
        <w:jc w:val="center"/>
        <w:rPr>
          <w:color w:val="000000"/>
          <w:sz w:val="22"/>
          <w:szCs w:val="22"/>
        </w:rPr>
      </w:pPr>
      <w:r>
        <w:rPr>
          <w:b/>
          <w:color w:val="000000"/>
          <w:sz w:val="22"/>
          <w:szCs w:val="22"/>
        </w:rPr>
        <w:t xml:space="preserve">Universidad Nacional de General San </w:t>
      </w:r>
      <w:r>
        <w:rPr>
          <w:b/>
          <w:sz w:val="22"/>
          <w:szCs w:val="22"/>
        </w:rPr>
        <w:t>Martín</w:t>
      </w:r>
      <w:r>
        <w:rPr>
          <w:b/>
          <w:color w:val="000000"/>
        </w:rPr>
        <w:t>, Argentina</w:t>
      </w:r>
      <w:r>
        <w:rPr>
          <w:b/>
          <w:color w:val="000000"/>
        </w:rPr>
        <w:br/>
      </w:r>
    </w:p>
    <w:p w14:paraId="78BFBEF3" w14:textId="61A6B645" w:rsidR="0080107F" w:rsidRDefault="00446509">
      <w:pPr>
        <w:pBdr>
          <w:top w:val="nil"/>
          <w:left w:val="nil"/>
          <w:bottom w:val="nil"/>
          <w:right w:val="nil"/>
          <w:between w:val="nil"/>
        </w:pBdr>
        <w:rPr>
          <w:b/>
          <w:color w:val="000000"/>
        </w:rPr>
      </w:pPr>
      <w:r>
        <w:rPr>
          <w:color w:val="000000"/>
          <w:sz w:val="22"/>
          <w:szCs w:val="22"/>
        </w:rPr>
        <w:t xml:space="preserve">The Regents of the </w:t>
      </w:r>
      <w:r w:rsidR="00636A06" w:rsidRPr="006D1FC8">
        <w:rPr>
          <w:b/>
          <w:bCs/>
          <w:color w:val="000000"/>
          <w:sz w:val="22"/>
          <w:szCs w:val="22"/>
        </w:rPr>
        <w:t>FHNW School of Life Sciences</w:t>
      </w:r>
      <w:r w:rsidR="00636A06">
        <w:rPr>
          <w:color w:val="000000"/>
          <w:sz w:val="22"/>
          <w:szCs w:val="22"/>
        </w:rPr>
        <w:t xml:space="preserve"> </w:t>
      </w:r>
      <w:r>
        <w:rPr>
          <w:color w:val="000000"/>
          <w:sz w:val="22"/>
          <w:szCs w:val="22"/>
        </w:rPr>
        <w:t>and</w:t>
      </w:r>
      <w:r>
        <w:rPr>
          <w:b/>
          <w:color w:val="000000"/>
          <w:sz w:val="22"/>
          <w:szCs w:val="22"/>
        </w:rPr>
        <w:t xml:space="preserve"> </w:t>
      </w:r>
      <w:r>
        <w:rPr>
          <w:color w:val="000000"/>
          <w:sz w:val="22"/>
          <w:szCs w:val="22"/>
        </w:rPr>
        <w:t xml:space="preserve">the </w:t>
      </w:r>
      <w:r>
        <w:rPr>
          <w:b/>
          <w:color w:val="000000"/>
          <w:sz w:val="22"/>
          <w:szCs w:val="22"/>
        </w:rPr>
        <w:t>Universidad Nacional de General San Martin</w:t>
      </w:r>
      <w:r>
        <w:rPr>
          <w:color w:val="000000"/>
          <w:sz w:val="22"/>
          <w:szCs w:val="22"/>
        </w:rPr>
        <w:t>, recognizing the value of educational exchanges, enter into this Exchange Agreement.</w:t>
      </w:r>
    </w:p>
    <w:p w14:paraId="6F0D7400" w14:textId="77777777" w:rsidR="0080107F" w:rsidRDefault="0080107F">
      <w:pPr>
        <w:pBdr>
          <w:top w:val="nil"/>
          <w:left w:val="nil"/>
          <w:bottom w:val="nil"/>
          <w:right w:val="nil"/>
          <w:between w:val="nil"/>
        </w:pBdr>
        <w:jc w:val="both"/>
        <w:rPr>
          <w:b/>
          <w:color w:val="000000"/>
          <w:sz w:val="22"/>
          <w:szCs w:val="22"/>
        </w:rPr>
      </w:pPr>
    </w:p>
    <w:p w14:paraId="72280A6D" w14:textId="77777777" w:rsidR="0080107F" w:rsidRDefault="00446509">
      <w:pPr>
        <w:pBdr>
          <w:top w:val="nil"/>
          <w:left w:val="nil"/>
          <w:bottom w:val="nil"/>
          <w:right w:val="nil"/>
          <w:between w:val="nil"/>
        </w:pBdr>
        <w:jc w:val="both"/>
        <w:rPr>
          <w:b/>
          <w:color w:val="000000"/>
          <w:sz w:val="22"/>
          <w:szCs w:val="22"/>
        </w:rPr>
      </w:pPr>
      <w:r>
        <w:rPr>
          <w:b/>
          <w:color w:val="000000"/>
          <w:sz w:val="22"/>
          <w:szCs w:val="22"/>
        </w:rPr>
        <w:t>1.  Definitions.</w:t>
      </w:r>
    </w:p>
    <w:p w14:paraId="0524DD21" w14:textId="77777777" w:rsidR="0080107F" w:rsidRDefault="00446509">
      <w:pPr>
        <w:numPr>
          <w:ilvl w:val="0"/>
          <w:numId w:val="4"/>
        </w:numPr>
        <w:pBdr>
          <w:top w:val="nil"/>
          <w:left w:val="nil"/>
          <w:bottom w:val="nil"/>
          <w:right w:val="nil"/>
          <w:between w:val="nil"/>
        </w:pBdr>
        <w:ind w:left="540" w:hanging="270"/>
        <w:jc w:val="both"/>
        <w:rPr>
          <w:color w:val="000000"/>
          <w:sz w:val="22"/>
          <w:szCs w:val="22"/>
        </w:rPr>
      </w:pPr>
      <w:r>
        <w:rPr>
          <w:color w:val="000000"/>
          <w:sz w:val="22"/>
          <w:szCs w:val="22"/>
        </w:rPr>
        <w:t>“Home institution” means the institution at which the student intends to graduate or the faculty or staff member is employed.</w:t>
      </w:r>
    </w:p>
    <w:p w14:paraId="7243F342" w14:textId="77777777" w:rsidR="0080107F" w:rsidRDefault="00446509">
      <w:pPr>
        <w:numPr>
          <w:ilvl w:val="0"/>
          <w:numId w:val="4"/>
        </w:numPr>
        <w:pBdr>
          <w:top w:val="nil"/>
          <w:left w:val="nil"/>
          <w:bottom w:val="nil"/>
          <w:right w:val="nil"/>
          <w:between w:val="nil"/>
        </w:pBdr>
        <w:ind w:left="540" w:hanging="270"/>
        <w:jc w:val="both"/>
        <w:rPr>
          <w:color w:val="000000"/>
          <w:sz w:val="22"/>
          <w:szCs w:val="22"/>
        </w:rPr>
      </w:pPr>
      <w:r>
        <w:rPr>
          <w:color w:val="000000"/>
          <w:sz w:val="22"/>
          <w:szCs w:val="22"/>
        </w:rPr>
        <w:t>“Host institution” means the institution that receives exchange students, faculty, or staff from the home institution.</w:t>
      </w:r>
    </w:p>
    <w:p w14:paraId="33D814A0" w14:textId="77777777" w:rsidR="0080107F" w:rsidRDefault="00446509">
      <w:pPr>
        <w:numPr>
          <w:ilvl w:val="0"/>
          <w:numId w:val="4"/>
        </w:numPr>
        <w:pBdr>
          <w:top w:val="nil"/>
          <w:left w:val="nil"/>
          <w:bottom w:val="nil"/>
          <w:right w:val="nil"/>
          <w:between w:val="nil"/>
        </w:pBdr>
        <w:ind w:left="540" w:hanging="270"/>
        <w:jc w:val="both"/>
        <w:rPr>
          <w:color w:val="000000"/>
        </w:rPr>
      </w:pPr>
      <w:r>
        <w:rPr>
          <w:color w:val="000000"/>
          <w:sz w:val="22"/>
          <w:szCs w:val="22"/>
        </w:rPr>
        <w:t>“Semester, session, or academic year” means the period relevant to the host institution’s academic calendar</w:t>
      </w:r>
      <w:r>
        <w:rPr>
          <w:color w:val="000000"/>
        </w:rPr>
        <w:t>.</w:t>
      </w:r>
    </w:p>
    <w:p w14:paraId="039C1C77" w14:textId="77777777" w:rsidR="0080107F" w:rsidRDefault="00446509">
      <w:pPr>
        <w:widowControl w:val="0"/>
        <w:spacing w:before="280"/>
        <w:ind w:left="270" w:hanging="270"/>
        <w:jc w:val="both"/>
        <w:rPr>
          <w:sz w:val="22"/>
          <w:szCs w:val="22"/>
        </w:rPr>
      </w:pPr>
      <w:r>
        <w:rPr>
          <w:b/>
          <w:sz w:val="22"/>
          <w:szCs w:val="22"/>
        </w:rPr>
        <w:t>2.</w:t>
      </w:r>
      <w:r>
        <w:rPr>
          <w:sz w:val="22"/>
          <w:szCs w:val="22"/>
        </w:rPr>
        <w:t xml:space="preserve"> </w:t>
      </w:r>
      <w:r>
        <w:rPr>
          <w:b/>
          <w:sz w:val="22"/>
          <w:szCs w:val="22"/>
        </w:rPr>
        <w:t>Purpose.</w:t>
      </w:r>
      <w:r>
        <w:rPr>
          <w:sz w:val="22"/>
          <w:szCs w:val="22"/>
        </w:rPr>
        <w:t xml:space="preserve">  The purpose of this Agreement is to establish educational </w:t>
      </w:r>
      <w:r>
        <w:rPr>
          <w:sz w:val="22"/>
          <w:szCs w:val="22"/>
          <w:highlight w:val="white"/>
        </w:rPr>
        <w:t xml:space="preserve">and cooperative </w:t>
      </w:r>
      <w:r>
        <w:rPr>
          <w:sz w:val="22"/>
          <w:szCs w:val="22"/>
        </w:rPr>
        <w:t>relations between the parties that will promote academic linkages</w:t>
      </w:r>
      <w:r>
        <w:rPr>
          <w:sz w:val="22"/>
          <w:szCs w:val="22"/>
          <w:highlight w:val="white"/>
        </w:rPr>
        <w:t xml:space="preserve"> of </w:t>
      </w:r>
      <w:r>
        <w:rPr>
          <w:sz w:val="22"/>
          <w:szCs w:val="22"/>
        </w:rPr>
        <w:t xml:space="preserve">mutual understanding.  Student exchanges are intended to allow enrollment in host-institution courses for academic credit that will be transferred and applied to the student’s home institution degree.  Faculty and staff exchanges are intended to promote </w:t>
      </w:r>
      <w:r>
        <w:rPr>
          <w:sz w:val="22"/>
          <w:szCs w:val="22"/>
          <w:highlight w:val="white"/>
        </w:rPr>
        <w:t>institutional</w:t>
      </w:r>
      <w:r>
        <w:rPr>
          <w:sz w:val="22"/>
          <w:szCs w:val="22"/>
        </w:rPr>
        <w:t xml:space="preserve"> collaboration.</w:t>
      </w:r>
    </w:p>
    <w:p w14:paraId="16FCA8A5" w14:textId="77777777" w:rsidR="0080107F" w:rsidRDefault="0080107F">
      <w:pPr>
        <w:pBdr>
          <w:top w:val="nil"/>
          <w:left w:val="nil"/>
          <w:bottom w:val="nil"/>
          <w:right w:val="nil"/>
          <w:between w:val="nil"/>
        </w:pBdr>
        <w:ind w:left="270" w:hanging="270"/>
        <w:jc w:val="both"/>
        <w:rPr>
          <w:b/>
          <w:color w:val="000000"/>
          <w:sz w:val="22"/>
          <w:szCs w:val="22"/>
        </w:rPr>
      </w:pPr>
    </w:p>
    <w:p w14:paraId="75DE8A3F" w14:textId="77777777" w:rsidR="0080107F" w:rsidRDefault="00446509">
      <w:pPr>
        <w:pBdr>
          <w:top w:val="nil"/>
          <w:left w:val="nil"/>
          <w:bottom w:val="nil"/>
          <w:right w:val="nil"/>
          <w:between w:val="nil"/>
        </w:pBdr>
        <w:ind w:left="270" w:hanging="270"/>
        <w:jc w:val="both"/>
        <w:rPr>
          <w:color w:val="000000"/>
          <w:sz w:val="22"/>
          <w:szCs w:val="22"/>
        </w:rPr>
      </w:pPr>
      <w:r>
        <w:rPr>
          <w:b/>
          <w:color w:val="000000"/>
          <w:sz w:val="22"/>
          <w:szCs w:val="22"/>
        </w:rPr>
        <w:t>3.  Responsibilities of the Parties.</w:t>
      </w:r>
      <w:r>
        <w:rPr>
          <w:color w:val="000000"/>
          <w:sz w:val="22"/>
          <w:szCs w:val="22"/>
        </w:rPr>
        <w:t xml:space="preserve">  The parties agree:</w:t>
      </w:r>
    </w:p>
    <w:p w14:paraId="756A7796" w14:textId="77777777" w:rsidR="0080107F" w:rsidRDefault="00446509">
      <w:pPr>
        <w:numPr>
          <w:ilvl w:val="0"/>
          <w:numId w:val="3"/>
        </w:numPr>
        <w:pBdr>
          <w:top w:val="nil"/>
          <w:left w:val="nil"/>
          <w:bottom w:val="nil"/>
          <w:right w:val="nil"/>
          <w:between w:val="nil"/>
        </w:pBdr>
        <w:ind w:left="540" w:hanging="270"/>
        <w:jc w:val="both"/>
        <w:rPr>
          <w:color w:val="000000"/>
          <w:sz w:val="22"/>
          <w:szCs w:val="22"/>
        </w:rPr>
      </w:pPr>
      <w:r>
        <w:rPr>
          <w:color w:val="000000"/>
          <w:sz w:val="22"/>
          <w:szCs w:val="22"/>
        </w:rPr>
        <w:t>To take all reasonable measures to implement this Agreement as permitted by available funding and personnel.</w:t>
      </w:r>
    </w:p>
    <w:p w14:paraId="107ABA7E" w14:textId="77777777" w:rsidR="0080107F" w:rsidRDefault="00446509">
      <w:pPr>
        <w:numPr>
          <w:ilvl w:val="0"/>
          <w:numId w:val="3"/>
        </w:numPr>
        <w:pBdr>
          <w:top w:val="nil"/>
          <w:left w:val="nil"/>
          <w:bottom w:val="nil"/>
          <w:right w:val="nil"/>
          <w:between w:val="nil"/>
        </w:pBdr>
        <w:ind w:left="540" w:hanging="270"/>
        <w:jc w:val="both"/>
        <w:rPr>
          <w:color w:val="000000"/>
          <w:sz w:val="22"/>
          <w:szCs w:val="22"/>
        </w:rPr>
      </w:pPr>
      <w:r>
        <w:rPr>
          <w:color w:val="000000"/>
          <w:sz w:val="22"/>
          <w:szCs w:val="22"/>
        </w:rPr>
        <w:t>To accept and enroll exchange students as full time, "non-award," or “non-degree–status” students for the duration of their exchange.</w:t>
      </w:r>
    </w:p>
    <w:p w14:paraId="4F513722" w14:textId="77777777" w:rsidR="0080107F" w:rsidRDefault="00446509">
      <w:pPr>
        <w:numPr>
          <w:ilvl w:val="0"/>
          <w:numId w:val="3"/>
        </w:numPr>
        <w:pBdr>
          <w:top w:val="nil"/>
          <w:left w:val="nil"/>
          <w:bottom w:val="nil"/>
          <w:right w:val="nil"/>
          <w:between w:val="nil"/>
        </w:pBdr>
        <w:ind w:left="540" w:hanging="270"/>
        <w:jc w:val="both"/>
        <w:rPr>
          <w:color w:val="000000"/>
          <w:sz w:val="22"/>
          <w:szCs w:val="22"/>
        </w:rPr>
      </w:pPr>
      <w:r>
        <w:rPr>
          <w:color w:val="000000"/>
          <w:sz w:val="22"/>
          <w:szCs w:val="22"/>
        </w:rPr>
        <w:t>To communicate with each other on a timely basis about, e.g., course availability, enrollment limitations and restrictions, any applicable fees, etc.</w:t>
      </w:r>
    </w:p>
    <w:p w14:paraId="79BCF880" w14:textId="77777777" w:rsidR="0080107F" w:rsidRDefault="00446509">
      <w:pPr>
        <w:numPr>
          <w:ilvl w:val="0"/>
          <w:numId w:val="3"/>
        </w:numPr>
        <w:pBdr>
          <w:top w:val="nil"/>
          <w:left w:val="nil"/>
          <w:bottom w:val="nil"/>
          <w:right w:val="nil"/>
          <w:between w:val="nil"/>
        </w:pBdr>
        <w:ind w:left="540" w:hanging="270"/>
        <w:jc w:val="both"/>
        <w:rPr>
          <w:color w:val="000000"/>
          <w:sz w:val="22"/>
          <w:szCs w:val="22"/>
        </w:rPr>
      </w:pPr>
      <w:r>
        <w:rPr>
          <w:color w:val="000000"/>
          <w:sz w:val="22"/>
          <w:szCs w:val="22"/>
        </w:rPr>
        <w:t>To send completed exchange applications to the host institution by published deadlines.  The host institution will determine whether to admit exchange applicants.</w:t>
      </w:r>
    </w:p>
    <w:p w14:paraId="61964EF1" w14:textId="72B67C31" w:rsidR="0080107F" w:rsidRDefault="00446509">
      <w:pPr>
        <w:numPr>
          <w:ilvl w:val="0"/>
          <w:numId w:val="3"/>
        </w:numPr>
        <w:pBdr>
          <w:top w:val="nil"/>
          <w:left w:val="nil"/>
          <w:bottom w:val="nil"/>
          <w:right w:val="nil"/>
          <w:between w:val="nil"/>
        </w:pBdr>
        <w:ind w:left="540" w:hanging="270"/>
        <w:jc w:val="both"/>
        <w:rPr>
          <w:color w:val="000000"/>
          <w:sz w:val="22"/>
          <w:szCs w:val="22"/>
        </w:rPr>
      </w:pPr>
      <w:r>
        <w:rPr>
          <w:color w:val="000000"/>
          <w:sz w:val="22"/>
          <w:szCs w:val="22"/>
        </w:rPr>
        <w:t xml:space="preserve">To </w:t>
      </w:r>
      <w:r w:rsidR="006D1FC8">
        <w:rPr>
          <w:color w:val="000000"/>
          <w:sz w:val="22"/>
          <w:szCs w:val="22"/>
        </w:rPr>
        <w:t>inform the</w:t>
      </w:r>
      <w:r>
        <w:rPr>
          <w:color w:val="000000"/>
          <w:sz w:val="22"/>
          <w:szCs w:val="22"/>
        </w:rPr>
        <w:t xml:space="preserve"> incoming students </w:t>
      </w:r>
      <w:r w:rsidR="006D1FC8">
        <w:rPr>
          <w:color w:val="000000"/>
          <w:sz w:val="22"/>
          <w:szCs w:val="22"/>
        </w:rPr>
        <w:t>about the necessary</w:t>
      </w:r>
      <w:r>
        <w:rPr>
          <w:color w:val="000000"/>
          <w:sz w:val="22"/>
          <w:szCs w:val="22"/>
        </w:rPr>
        <w:t xml:space="preserve"> funds for their exchange.</w:t>
      </w:r>
    </w:p>
    <w:p w14:paraId="5E5F6AE9" w14:textId="77777777" w:rsidR="0080107F" w:rsidRDefault="00446509">
      <w:pPr>
        <w:numPr>
          <w:ilvl w:val="0"/>
          <w:numId w:val="3"/>
        </w:numPr>
        <w:pBdr>
          <w:top w:val="nil"/>
          <w:left w:val="nil"/>
          <w:bottom w:val="nil"/>
          <w:right w:val="nil"/>
          <w:between w:val="nil"/>
        </w:pBdr>
        <w:ind w:left="540" w:hanging="270"/>
        <w:jc w:val="both"/>
        <w:rPr>
          <w:color w:val="000000"/>
          <w:sz w:val="22"/>
          <w:szCs w:val="22"/>
        </w:rPr>
      </w:pPr>
      <w:r>
        <w:rPr>
          <w:color w:val="000000"/>
          <w:sz w:val="22"/>
          <w:szCs w:val="22"/>
        </w:rPr>
        <w:t>To provide exchange students the same academic resources and support services available to all students at the host institution.</w:t>
      </w:r>
    </w:p>
    <w:p w14:paraId="0D95540D" w14:textId="77777777" w:rsidR="0080107F" w:rsidRDefault="00446509">
      <w:pPr>
        <w:numPr>
          <w:ilvl w:val="0"/>
          <w:numId w:val="3"/>
        </w:numPr>
        <w:pBdr>
          <w:top w:val="nil"/>
          <w:left w:val="nil"/>
          <w:bottom w:val="nil"/>
          <w:right w:val="nil"/>
          <w:between w:val="nil"/>
        </w:pBdr>
        <w:ind w:left="540" w:hanging="270"/>
        <w:jc w:val="both"/>
        <w:rPr>
          <w:color w:val="000000"/>
          <w:sz w:val="22"/>
          <w:szCs w:val="22"/>
        </w:rPr>
      </w:pPr>
      <w:r>
        <w:rPr>
          <w:color w:val="000000"/>
          <w:sz w:val="22"/>
          <w:szCs w:val="22"/>
        </w:rPr>
        <w:t>To provide each student’s transcript to the home institution with the student’s consent.</w:t>
      </w:r>
    </w:p>
    <w:p w14:paraId="34C61D50" w14:textId="77777777" w:rsidR="0080107F" w:rsidRDefault="00446509">
      <w:pPr>
        <w:numPr>
          <w:ilvl w:val="0"/>
          <w:numId w:val="3"/>
        </w:numPr>
        <w:pBdr>
          <w:top w:val="nil"/>
          <w:left w:val="nil"/>
          <w:bottom w:val="nil"/>
          <w:right w:val="nil"/>
          <w:between w:val="nil"/>
        </w:pBdr>
        <w:ind w:left="540" w:hanging="270"/>
        <w:jc w:val="both"/>
        <w:rPr>
          <w:color w:val="000000"/>
          <w:sz w:val="22"/>
          <w:szCs w:val="22"/>
        </w:rPr>
      </w:pPr>
      <w:r>
        <w:rPr>
          <w:color w:val="000000"/>
          <w:sz w:val="22"/>
          <w:szCs w:val="22"/>
        </w:rPr>
        <w:t>To make reasonable efforts to involve equal numbers of students from each institution over the period of this Agreement.</w:t>
      </w:r>
    </w:p>
    <w:p w14:paraId="2F5F4E72" w14:textId="30BE67AF" w:rsidR="0080107F" w:rsidRDefault="00326191">
      <w:pPr>
        <w:numPr>
          <w:ilvl w:val="0"/>
          <w:numId w:val="3"/>
        </w:numPr>
        <w:pBdr>
          <w:top w:val="nil"/>
          <w:left w:val="nil"/>
          <w:bottom w:val="nil"/>
          <w:right w:val="nil"/>
          <w:between w:val="nil"/>
        </w:pBdr>
        <w:ind w:left="540" w:hanging="270"/>
        <w:jc w:val="both"/>
        <w:rPr>
          <w:color w:val="000000"/>
          <w:sz w:val="22"/>
          <w:szCs w:val="22"/>
        </w:rPr>
      </w:pPr>
      <w:r w:rsidRPr="00326191">
        <w:rPr>
          <w:color w:val="000000"/>
          <w:sz w:val="22"/>
          <w:szCs w:val="22"/>
        </w:rPr>
        <w:t>The sending institution will determine the number of academic credits in the framework of international mobility that it will award to its students according to its current regulations for courses at the receiving institution</w:t>
      </w:r>
      <w:r w:rsidR="00446509">
        <w:rPr>
          <w:color w:val="000000"/>
          <w:sz w:val="22"/>
          <w:szCs w:val="22"/>
        </w:rPr>
        <w:t>.</w:t>
      </w:r>
    </w:p>
    <w:p w14:paraId="765130B8" w14:textId="77777777" w:rsidR="0080107F" w:rsidRDefault="0080107F">
      <w:pPr>
        <w:pBdr>
          <w:top w:val="nil"/>
          <w:left w:val="nil"/>
          <w:bottom w:val="nil"/>
          <w:right w:val="nil"/>
          <w:between w:val="nil"/>
        </w:pBdr>
        <w:jc w:val="both"/>
        <w:rPr>
          <w:b/>
          <w:color w:val="000000"/>
          <w:sz w:val="22"/>
          <w:szCs w:val="22"/>
        </w:rPr>
      </w:pPr>
    </w:p>
    <w:p w14:paraId="23C703B9" w14:textId="77777777" w:rsidR="0080107F" w:rsidRDefault="00446509">
      <w:pPr>
        <w:pBdr>
          <w:top w:val="nil"/>
          <w:left w:val="nil"/>
          <w:bottom w:val="nil"/>
          <w:right w:val="nil"/>
          <w:between w:val="nil"/>
        </w:pBdr>
        <w:jc w:val="both"/>
        <w:rPr>
          <w:color w:val="000000"/>
          <w:sz w:val="22"/>
          <w:szCs w:val="22"/>
        </w:rPr>
      </w:pPr>
      <w:r>
        <w:rPr>
          <w:b/>
          <w:color w:val="000000"/>
          <w:sz w:val="22"/>
          <w:szCs w:val="22"/>
        </w:rPr>
        <w:t>4.  Responsibilities of Students.</w:t>
      </w:r>
      <w:r>
        <w:rPr>
          <w:color w:val="000000"/>
          <w:sz w:val="22"/>
          <w:szCs w:val="22"/>
        </w:rPr>
        <w:t xml:space="preserve">  Students must:</w:t>
      </w:r>
    </w:p>
    <w:p w14:paraId="24E693DF" w14:textId="77777777" w:rsidR="0080107F" w:rsidRDefault="00446509">
      <w:pPr>
        <w:numPr>
          <w:ilvl w:val="0"/>
          <w:numId w:val="2"/>
        </w:numPr>
        <w:pBdr>
          <w:top w:val="nil"/>
          <w:left w:val="nil"/>
          <w:bottom w:val="nil"/>
          <w:right w:val="nil"/>
          <w:between w:val="nil"/>
        </w:pBdr>
        <w:tabs>
          <w:tab w:val="left" w:pos="270"/>
        </w:tabs>
        <w:ind w:left="540" w:hanging="270"/>
        <w:jc w:val="both"/>
        <w:rPr>
          <w:color w:val="000000"/>
          <w:sz w:val="22"/>
          <w:szCs w:val="22"/>
        </w:rPr>
      </w:pPr>
      <w:r>
        <w:rPr>
          <w:color w:val="000000"/>
          <w:sz w:val="22"/>
          <w:szCs w:val="22"/>
        </w:rPr>
        <w:t>Get the home institution’s prior approval for host-institution courses.</w:t>
      </w:r>
    </w:p>
    <w:p w14:paraId="3CC38650" w14:textId="77777777" w:rsidR="0080107F" w:rsidRDefault="00446509">
      <w:pPr>
        <w:numPr>
          <w:ilvl w:val="0"/>
          <w:numId w:val="2"/>
        </w:numPr>
        <w:pBdr>
          <w:top w:val="nil"/>
          <w:left w:val="nil"/>
          <w:bottom w:val="nil"/>
          <w:right w:val="nil"/>
          <w:between w:val="nil"/>
        </w:pBdr>
        <w:tabs>
          <w:tab w:val="left" w:pos="270"/>
        </w:tabs>
        <w:ind w:left="540" w:hanging="270"/>
        <w:jc w:val="both"/>
        <w:rPr>
          <w:color w:val="000000"/>
          <w:sz w:val="22"/>
          <w:szCs w:val="22"/>
        </w:rPr>
      </w:pPr>
      <w:r>
        <w:rPr>
          <w:color w:val="000000"/>
          <w:sz w:val="22"/>
          <w:szCs w:val="22"/>
        </w:rPr>
        <w:t>Meet the host institution’s applicable language-proficiency requirement.</w:t>
      </w:r>
    </w:p>
    <w:p w14:paraId="34047CA9" w14:textId="77777777" w:rsidR="0080107F" w:rsidRDefault="00446509">
      <w:pPr>
        <w:numPr>
          <w:ilvl w:val="0"/>
          <w:numId w:val="2"/>
        </w:numPr>
        <w:pBdr>
          <w:top w:val="nil"/>
          <w:left w:val="nil"/>
          <w:bottom w:val="nil"/>
          <w:right w:val="nil"/>
          <w:between w:val="nil"/>
        </w:pBdr>
        <w:tabs>
          <w:tab w:val="left" w:pos="270"/>
        </w:tabs>
        <w:ind w:left="540" w:hanging="270"/>
        <w:jc w:val="both"/>
        <w:rPr>
          <w:color w:val="000000"/>
          <w:sz w:val="22"/>
          <w:szCs w:val="22"/>
        </w:rPr>
      </w:pPr>
      <w:r>
        <w:rPr>
          <w:color w:val="000000"/>
          <w:sz w:val="22"/>
          <w:szCs w:val="22"/>
        </w:rPr>
        <w:t>Obtain a copy of their host-institution transcript and submit it to their home institution on a timely basis.</w:t>
      </w:r>
    </w:p>
    <w:p w14:paraId="2B2F31D1" w14:textId="77777777" w:rsidR="0080107F" w:rsidRDefault="00446509">
      <w:pPr>
        <w:numPr>
          <w:ilvl w:val="0"/>
          <w:numId w:val="2"/>
        </w:numPr>
        <w:pBdr>
          <w:top w:val="nil"/>
          <w:left w:val="nil"/>
          <w:bottom w:val="nil"/>
          <w:right w:val="nil"/>
          <w:between w:val="nil"/>
        </w:pBdr>
        <w:tabs>
          <w:tab w:val="left" w:pos="270"/>
        </w:tabs>
        <w:ind w:left="540" w:hanging="270"/>
        <w:jc w:val="both"/>
        <w:rPr>
          <w:color w:val="000000"/>
          <w:sz w:val="22"/>
          <w:szCs w:val="22"/>
        </w:rPr>
      </w:pPr>
      <w:r>
        <w:rPr>
          <w:color w:val="000000"/>
          <w:sz w:val="22"/>
          <w:szCs w:val="22"/>
        </w:rPr>
        <w:t>Comply with the host institution’s applicable rules and procedures.</w:t>
      </w:r>
    </w:p>
    <w:p w14:paraId="4C96F146" w14:textId="77777777" w:rsidR="0080107F" w:rsidRDefault="00446509">
      <w:pPr>
        <w:numPr>
          <w:ilvl w:val="0"/>
          <w:numId w:val="2"/>
        </w:numPr>
        <w:pBdr>
          <w:top w:val="nil"/>
          <w:left w:val="nil"/>
          <w:bottom w:val="nil"/>
          <w:right w:val="nil"/>
          <w:between w:val="nil"/>
        </w:pBdr>
        <w:tabs>
          <w:tab w:val="left" w:pos="270"/>
        </w:tabs>
        <w:ind w:left="540" w:hanging="270"/>
        <w:jc w:val="both"/>
        <w:rPr>
          <w:color w:val="000000"/>
          <w:sz w:val="22"/>
          <w:szCs w:val="22"/>
        </w:rPr>
      </w:pPr>
      <w:r>
        <w:rPr>
          <w:color w:val="000000"/>
          <w:sz w:val="22"/>
          <w:szCs w:val="22"/>
        </w:rPr>
        <w:t>Meet all applicable host-country immigration and visa requirements on a timely basis.</w:t>
      </w:r>
    </w:p>
    <w:p w14:paraId="55B2D5CE" w14:textId="77777777" w:rsidR="0080107F" w:rsidRDefault="00446509">
      <w:pPr>
        <w:numPr>
          <w:ilvl w:val="0"/>
          <w:numId w:val="2"/>
        </w:numPr>
        <w:pBdr>
          <w:top w:val="nil"/>
          <w:left w:val="nil"/>
          <w:bottom w:val="nil"/>
          <w:right w:val="nil"/>
          <w:between w:val="nil"/>
        </w:pBdr>
        <w:tabs>
          <w:tab w:val="left" w:pos="270"/>
        </w:tabs>
        <w:ind w:left="540" w:hanging="270"/>
        <w:jc w:val="both"/>
        <w:rPr>
          <w:color w:val="000000"/>
          <w:sz w:val="22"/>
          <w:szCs w:val="22"/>
        </w:rPr>
      </w:pPr>
      <w:r>
        <w:rPr>
          <w:color w:val="000000"/>
          <w:sz w:val="22"/>
          <w:szCs w:val="22"/>
        </w:rPr>
        <w:t>Comply with all applicable host-country laws.</w:t>
      </w:r>
    </w:p>
    <w:p w14:paraId="7CBE3358" w14:textId="4F3B7699" w:rsidR="00352598" w:rsidRDefault="00352598">
      <w:pPr>
        <w:numPr>
          <w:ilvl w:val="0"/>
          <w:numId w:val="2"/>
        </w:numPr>
        <w:pBdr>
          <w:top w:val="nil"/>
          <w:left w:val="nil"/>
          <w:bottom w:val="nil"/>
          <w:right w:val="nil"/>
          <w:between w:val="nil"/>
        </w:pBdr>
        <w:tabs>
          <w:tab w:val="left" w:pos="270"/>
        </w:tabs>
        <w:ind w:left="540" w:hanging="270"/>
        <w:jc w:val="both"/>
        <w:rPr>
          <w:color w:val="000000"/>
          <w:sz w:val="22"/>
          <w:szCs w:val="22"/>
        </w:rPr>
      </w:pPr>
      <w:r>
        <w:rPr>
          <w:color w:val="000000"/>
          <w:sz w:val="22"/>
          <w:szCs w:val="22"/>
        </w:rPr>
        <w:t>Possess sufficient health and accident insurance</w:t>
      </w:r>
      <w:r w:rsidR="00073E50">
        <w:rPr>
          <w:color w:val="000000"/>
          <w:sz w:val="22"/>
          <w:szCs w:val="22"/>
        </w:rPr>
        <w:t xml:space="preserve"> with coverage for the host-country.</w:t>
      </w:r>
    </w:p>
    <w:p w14:paraId="48C135B3" w14:textId="3934C4A1" w:rsidR="0080107F" w:rsidRDefault="00446509">
      <w:pPr>
        <w:widowControl w:val="0"/>
        <w:spacing w:before="280"/>
        <w:ind w:left="270" w:hanging="270"/>
        <w:jc w:val="both"/>
        <w:rPr>
          <w:sz w:val="22"/>
          <w:szCs w:val="22"/>
        </w:rPr>
      </w:pPr>
      <w:r>
        <w:rPr>
          <w:b/>
          <w:sz w:val="22"/>
          <w:szCs w:val="22"/>
        </w:rPr>
        <w:lastRenderedPageBreak/>
        <w:t>5.  Numbers.</w:t>
      </w:r>
      <w:r>
        <w:rPr>
          <w:sz w:val="22"/>
          <w:szCs w:val="22"/>
        </w:rPr>
        <w:t xml:space="preserve">  </w:t>
      </w:r>
      <w:r w:rsidR="00326191" w:rsidRPr="00326191">
        <w:rPr>
          <w:sz w:val="22"/>
          <w:szCs w:val="22"/>
        </w:rPr>
        <w:t>The parties shall make reasonable efforts to involve an equal number of students from each institution during the term of this Agreement. For purposes of assessing balance, one student enrolling in two academic sessions is equivalent to two students enrolling in one academic session. Ideally, any imbalance in a given semester or term should be corrected in the following year. If the imbalance persists for more than three consecutive academic terms (including summers), the party that has received the most incoming students has the option to operate the exchange on a one-way basis until the imbalance is corrected, after which operation will resume on a reciprocal basis as described above.</w:t>
      </w:r>
    </w:p>
    <w:p w14:paraId="3735E327" w14:textId="77777777" w:rsidR="0080107F" w:rsidRDefault="0080107F">
      <w:pPr>
        <w:pBdr>
          <w:top w:val="nil"/>
          <w:left w:val="nil"/>
          <w:bottom w:val="nil"/>
          <w:right w:val="nil"/>
          <w:between w:val="nil"/>
        </w:pBdr>
        <w:ind w:left="270" w:hanging="270"/>
        <w:jc w:val="both"/>
        <w:rPr>
          <w:b/>
          <w:color w:val="000000"/>
          <w:sz w:val="22"/>
          <w:szCs w:val="22"/>
        </w:rPr>
      </w:pPr>
    </w:p>
    <w:p w14:paraId="295821D1" w14:textId="77777777" w:rsidR="0080107F" w:rsidRDefault="00446509">
      <w:pPr>
        <w:pBdr>
          <w:top w:val="nil"/>
          <w:left w:val="nil"/>
          <w:bottom w:val="nil"/>
          <w:right w:val="nil"/>
          <w:between w:val="nil"/>
        </w:pBdr>
        <w:ind w:left="270" w:hanging="270"/>
        <w:jc w:val="both"/>
        <w:rPr>
          <w:color w:val="000000"/>
          <w:sz w:val="22"/>
          <w:szCs w:val="22"/>
        </w:rPr>
      </w:pPr>
      <w:r>
        <w:rPr>
          <w:b/>
          <w:color w:val="000000"/>
          <w:sz w:val="22"/>
          <w:szCs w:val="22"/>
        </w:rPr>
        <w:t>6.  Selection and Enrollment of Students.</w:t>
      </w:r>
      <w:r>
        <w:rPr>
          <w:color w:val="000000"/>
          <w:sz w:val="22"/>
          <w:szCs w:val="22"/>
        </w:rPr>
        <w:t xml:space="preserve">  The home institution will nominate high-achieving students as exchange applicants. Subject to the approval of the host institution, undergraduate, graduate and post-graduate students may participate if:</w:t>
      </w:r>
    </w:p>
    <w:p w14:paraId="35160FD1" w14:textId="77777777" w:rsidR="0080107F" w:rsidRDefault="00446509">
      <w:pPr>
        <w:numPr>
          <w:ilvl w:val="0"/>
          <w:numId w:val="1"/>
        </w:numPr>
        <w:pBdr>
          <w:top w:val="nil"/>
          <w:left w:val="nil"/>
          <w:bottom w:val="nil"/>
          <w:right w:val="nil"/>
          <w:between w:val="nil"/>
        </w:pBdr>
        <w:ind w:left="630"/>
        <w:jc w:val="both"/>
        <w:rPr>
          <w:color w:val="000000"/>
          <w:sz w:val="22"/>
          <w:szCs w:val="22"/>
        </w:rPr>
      </w:pPr>
      <w:r>
        <w:rPr>
          <w:color w:val="000000"/>
          <w:sz w:val="22"/>
          <w:szCs w:val="22"/>
        </w:rPr>
        <w:t>they have completed at least one year of study at their home institution;</w:t>
      </w:r>
    </w:p>
    <w:p w14:paraId="2A6983F1" w14:textId="77777777" w:rsidR="0080107F" w:rsidRDefault="00446509">
      <w:pPr>
        <w:numPr>
          <w:ilvl w:val="0"/>
          <w:numId w:val="1"/>
        </w:numPr>
        <w:pBdr>
          <w:top w:val="nil"/>
          <w:left w:val="nil"/>
          <w:bottom w:val="nil"/>
          <w:right w:val="nil"/>
          <w:between w:val="nil"/>
        </w:pBdr>
        <w:ind w:left="630"/>
        <w:jc w:val="both"/>
        <w:rPr>
          <w:color w:val="000000"/>
          <w:sz w:val="22"/>
          <w:szCs w:val="22"/>
        </w:rPr>
      </w:pPr>
      <w:r>
        <w:rPr>
          <w:color w:val="000000"/>
          <w:sz w:val="22"/>
          <w:szCs w:val="22"/>
        </w:rPr>
        <w:t>they will be enrolled at their home and host institution for the full period of the exchange; and</w:t>
      </w:r>
    </w:p>
    <w:p w14:paraId="2CF7852D" w14:textId="77777777" w:rsidR="0080107F" w:rsidRDefault="00446509">
      <w:pPr>
        <w:numPr>
          <w:ilvl w:val="0"/>
          <w:numId w:val="1"/>
        </w:numPr>
        <w:pBdr>
          <w:top w:val="nil"/>
          <w:left w:val="nil"/>
          <w:bottom w:val="nil"/>
          <w:right w:val="nil"/>
          <w:between w:val="nil"/>
        </w:pBdr>
        <w:ind w:left="630"/>
        <w:jc w:val="both"/>
        <w:rPr>
          <w:color w:val="000000"/>
          <w:sz w:val="22"/>
          <w:szCs w:val="22"/>
        </w:rPr>
      </w:pPr>
      <w:r>
        <w:rPr>
          <w:color w:val="000000"/>
          <w:sz w:val="22"/>
          <w:szCs w:val="22"/>
        </w:rPr>
        <w:t>both institutions deem them academically qualified to succeed and have approved their enrollment proposal.</w:t>
      </w:r>
    </w:p>
    <w:p w14:paraId="2EBCD3E9" w14:textId="77777777" w:rsidR="0080107F" w:rsidRDefault="0080107F">
      <w:pPr>
        <w:pBdr>
          <w:top w:val="nil"/>
          <w:left w:val="nil"/>
          <w:bottom w:val="nil"/>
          <w:right w:val="nil"/>
          <w:between w:val="nil"/>
        </w:pBdr>
        <w:ind w:left="720"/>
        <w:jc w:val="both"/>
        <w:rPr>
          <w:color w:val="000000"/>
          <w:sz w:val="22"/>
          <w:szCs w:val="22"/>
        </w:rPr>
      </w:pPr>
    </w:p>
    <w:p w14:paraId="1D1A4CD7" w14:textId="439CEC86" w:rsidR="0080107F" w:rsidRDefault="00446509">
      <w:pPr>
        <w:pBdr>
          <w:top w:val="nil"/>
          <w:left w:val="nil"/>
          <w:bottom w:val="nil"/>
          <w:right w:val="nil"/>
          <w:between w:val="nil"/>
        </w:pBdr>
        <w:ind w:left="270" w:hanging="270"/>
        <w:jc w:val="both"/>
        <w:rPr>
          <w:color w:val="000000"/>
          <w:sz w:val="22"/>
          <w:szCs w:val="22"/>
        </w:rPr>
      </w:pPr>
      <w:r>
        <w:rPr>
          <w:b/>
          <w:color w:val="000000"/>
          <w:sz w:val="22"/>
          <w:szCs w:val="22"/>
        </w:rPr>
        <w:t>7.  Responsibilities of Host Institutions.</w:t>
      </w:r>
      <w:r>
        <w:rPr>
          <w:color w:val="000000"/>
          <w:sz w:val="22"/>
          <w:szCs w:val="22"/>
        </w:rPr>
        <w:t xml:space="preserve">  The host institution will provide the following at no cost to exchange students:</w:t>
      </w:r>
    </w:p>
    <w:p w14:paraId="15029A9E" w14:textId="762AB861" w:rsidR="0080107F" w:rsidRDefault="00446509">
      <w:pPr>
        <w:numPr>
          <w:ilvl w:val="0"/>
          <w:numId w:val="6"/>
        </w:numPr>
        <w:pBdr>
          <w:top w:val="nil"/>
          <w:left w:val="nil"/>
          <w:bottom w:val="nil"/>
          <w:right w:val="nil"/>
          <w:between w:val="nil"/>
        </w:pBdr>
        <w:ind w:left="630"/>
        <w:jc w:val="both"/>
        <w:rPr>
          <w:color w:val="000000"/>
          <w:sz w:val="22"/>
          <w:szCs w:val="22"/>
        </w:rPr>
      </w:pPr>
      <w:r>
        <w:rPr>
          <w:sz w:val="22"/>
          <w:szCs w:val="22"/>
        </w:rPr>
        <w:t>T</w:t>
      </w:r>
      <w:r>
        <w:rPr>
          <w:color w:val="000000"/>
          <w:sz w:val="22"/>
          <w:szCs w:val="22"/>
        </w:rPr>
        <w:t xml:space="preserve">uition </w:t>
      </w:r>
    </w:p>
    <w:p w14:paraId="1FF24FF4" w14:textId="77777777" w:rsidR="0080107F" w:rsidRDefault="00446509">
      <w:pPr>
        <w:numPr>
          <w:ilvl w:val="0"/>
          <w:numId w:val="6"/>
        </w:numPr>
        <w:pBdr>
          <w:top w:val="nil"/>
          <w:left w:val="nil"/>
          <w:bottom w:val="nil"/>
          <w:right w:val="nil"/>
          <w:between w:val="nil"/>
        </w:pBdr>
        <w:ind w:left="630"/>
        <w:jc w:val="both"/>
        <w:rPr>
          <w:color w:val="000000"/>
          <w:sz w:val="22"/>
          <w:szCs w:val="22"/>
        </w:rPr>
      </w:pPr>
      <w:r>
        <w:rPr>
          <w:color w:val="000000"/>
          <w:sz w:val="22"/>
          <w:szCs w:val="22"/>
        </w:rPr>
        <w:t>Orientation Program</w:t>
      </w:r>
    </w:p>
    <w:p w14:paraId="2DF21218" w14:textId="77777777" w:rsidR="0080107F" w:rsidRDefault="00446509">
      <w:pPr>
        <w:numPr>
          <w:ilvl w:val="0"/>
          <w:numId w:val="6"/>
        </w:numPr>
        <w:pBdr>
          <w:top w:val="nil"/>
          <w:left w:val="nil"/>
          <w:bottom w:val="nil"/>
          <w:right w:val="nil"/>
          <w:between w:val="nil"/>
        </w:pBdr>
        <w:ind w:left="630"/>
        <w:jc w:val="both"/>
        <w:rPr>
          <w:color w:val="000000"/>
          <w:sz w:val="22"/>
          <w:szCs w:val="22"/>
        </w:rPr>
      </w:pPr>
      <w:r>
        <w:rPr>
          <w:color w:val="000000"/>
          <w:sz w:val="22"/>
          <w:szCs w:val="22"/>
        </w:rPr>
        <w:t>Student services normally available to other host-institution students</w:t>
      </w:r>
    </w:p>
    <w:p w14:paraId="3AACDD03" w14:textId="77777777" w:rsidR="0080107F" w:rsidRDefault="00446509">
      <w:pPr>
        <w:widowControl w:val="0"/>
        <w:spacing w:before="240"/>
        <w:ind w:left="360" w:hanging="346"/>
        <w:jc w:val="both"/>
        <w:rPr>
          <w:b/>
          <w:sz w:val="22"/>
          <w:szCs w:val="22"/>
        </w:rPr>
      </w:pPr>
      <w:r>
        <w:rPr>
          <w:b/>
          <w:sz w:val="22"/>
          <w:szCs w:val="22"/>
        </w:rPr>
        <w:t>8.  Financial Responsibilities of Students.</w:t>
      </w:r>
    </w:p>
    <w:p w14:paraId="14A7A212" w14:textId="77777777" w:rsidR="0080107F" w:rsidRDefault="00446509">
      <w:pPr>
        <w:widowControl w:val="0"/>
        <w:numPr>
          <w:ilvl w:val="0"/>
          <w:numId w:val="7"/>
        </w:numPr>
        <w:pBdr>
          <w:top w:val="nil"/>
          <w:left w:val="nil"/>
          <w:bottom w:val="nil"/>
          <w:right w:val="nil"/>
          <w:between w:val="nil"/>
        </w:pBdr>
        <w:ind w:left="630"/>
        <w:jc w:val="both"/>
        <w:rPr>
          <w:color w:val="000000"/>
          <w:sz w:val="22"/>
          <w:szCs w:val="22"/>
        </w:rPr>
      </w:pPr>
      <w:r>
        <w:rPr>
          <w:color w:val="000000"/>
          <w:sz w:val="22"/>
          <w:szCs w:val="22"/>
        </w:rPr>
        <w:t>Home institution tuition and fees</w:t>
      </w:r>
    </w:p>
    <w:p w14:paraId="7E01482E" w14:textId="77777777" w:rsidR="0080107F" w:rsidRDefault="00446509">
      <w:pPr>
        <w:widowControl w:val="0"/>
        <w:numPr>
          <w:ilvl w:val="0"/>
          <w:numId w:val="7"/>
        </w:numPr>
        <w:pBdr>
          <w:top w:val="nil"/>
          <w:left w:val="nil"/>
          <w:bottom w:val="nil"/>
          <w:right w:val="nil"/>
          <w:between w:val="nil"/>
        </w:pBdr>
        <w:ind w:left="630"/>
        <w:jc w:val="both"/>
        <w:rPr>
          <w:color w:val="000000"/>
          <w:sz w:val="22"/>
          <w:szCs w:val="22"/>
        </w:rPr>
      </w:pPr>
      <w:r>
        <w:rPr>
          <w:color w:val="000000"/>
          <w:sz w:val="22"/>
          <w:szCs w:val="22"/>
        </w:rPr>
        <w:t>Round-trip travel costs including passport, visa, etc.</w:t>
      </w:r>
    </w:p>
    <w:p w14:paraId="123AFD08" w14:textId="77777777" w:rsidR="0080107F" w:rsidRDefault="00446509">
      <w:pPr>
        <w:widowControl w:val="0"/>
        <w:numPr>
          <w:ilvl w:val="0"/>
          <w:numId w:val="7"/>
        </w:numPr>
        <w:pBdr>
          <w:top w:val="nil"/>
          <w:left w:val="nil"/>
          <w:bottom w:val="nil"/>
          <w:right w:val="nil"/>
          <w:between w:val="nil"/>
        </w:pBdr>
        <w:ind w:left="630"/>
        <w:jc w:val="both"/>
        <w:rPr>
          <w:color w:val="000000"/>
          <w:sz w:val="22"/>
          <w:szCs w:val="22"/>
        </w:rPr>
      </w:pPr>
      <w:r>
        <w:rPr>
          <w:color w:val="000000"/>
          <w:sz w:val="22"/>
          <w:szCs w:val="22"/>
        </w:rPr>
        <w:t>Books, class materials, supplies, etc.</w:t>
      </w:r>
    </w:p>
    <w:p w14:paraId="7C09DA2B" w14:textId="77777777" w:rsidR="0080107F" w:rsidRDefault="00446509">
      <w:pPr>
        <w:widowControl w:val="0"/>
        <w:numPr>
          <w:ilvl w:val="0"/>
          <w:numId w:val="7"/>
        </w:numPr>
        <w:pBdr>
          <w:top w:val="nil"/>
          <w:left w:val="nil"/>
          <w:bottom w:val="nil"/>
          <w:right w:val="nil"/>
          <w:between w:val="nil"/>
        </w:pBdr>
        <w:ind w:left="630"/>
        <w:jc w:val="both"/>
        <w:rPr>
          <w:color w:val="000000"/>
          <w:sz w:val="22"/>
          <w:szCs w:val="22"/>
        </w:rPr>
      </w:pPr>
      <w:r>
        <w:rPr>
          <w:color w:val="000000"/>
          <w:sz w:val="22"/>
          <w:szCs w:val="22"/>
        </w:rPr>
        <w:t>Any host-institution special course fees, laboratory fees, or recreation fees</w:t>
      </w:r>
    </w:p>
    <w:p w14:paraId="2103A1A7" w14:textId="77777777" w:rsidR="0080107F" w:rsidRDefault="00446509">
      <w:pPr>
        <w:widowControl w:val="0"/>
        <w:numPr>
          <w:ilvl w:val="0"/>
          <w:numId w:val="7"/>
        </w:numPr>
        <w:pBdr>
          <w:top w:val="nil"/>
          <w:left w:val="nil"/>
          <w:bottom w:val="nil"/>
          <w:right w:val="nil"/>
          <w:between w:val="nil"/>
        </w:pBdr>
        <w:tabs>
          <w:tab w:val="left" w:pos="270"/>
        </w:tabs>
        <w:spacing w:line="276" w:lineRule="auto"/>
        <w:ind w:left="630"/>
        <w:jc w:val="both"/>
        <w:rPr>
          <w:color w:val="000000"/>
          <w:sz w:val="22"/>
          <w:szCs w:val="22"/>
        </w:rPr>
      </w:pPr>
      <w:r>
        <w:rPr>
          <w:color w:val="000000"/>
          <w:sz w:val="22"/>
          <w:szCs w:val="22"/>
        </w:rPr>
        <w:t>Living expenses (accommodation, food, transportation, personal expenses, tourism, etc.)</w:t>
      </w:r>
    </w:p>
    <w:p w14:paraId="235D4B3A" w14:textId="77777777" w:rsidR="0080107F" w:rsidRDefault="00446509">
      <w:pPr>
        <w:widowControl w:val="0"/>
        <w:numPr>
          <w:ilvl w:val="0"/>
          <w:numId w:val="7"/>
        </w:numPr>
        <w:pBdr>
          <w:top w:val="nil"/>
          <w:left w:val="nil"/>
          <w:bottom w:val="nil"/>
          <w:right w:val="nil"/>
          <w:between w:val="nil"/>
        </w:pBdr>
        <w:tabs>
          <w:tab w:val="left" w:pos="270"/>
        </w:tabs>
        <w:spacing w:line="276" w:lineRule="auto"/>
        <w:ind w:left="630"/>
        <w:jc w:val="both"/>
        <w:rPr>
          <w:color w:val="000000"/>
          <w:sz w:val="22"/>
          <w:szCs w:val="22"/>
        </w:rPr>
      </w:pPr>
      <w:r>
        <w:rPr>
          <w:color w:val="000000"/>
          <w:sz w:val="22"/>
          <w:szCs w:val="22"/>
        </w:rPr>
        <w:t>Administrative fees applicable to all incoming international students.</w:t>
      </w:r>
    </w:p>
    <w:p w14:paraId="4D1BB574" w14:textId="77777777" w:rsidR="0080107F" w:rsidRDefault="00446509">
      <w:pPr>
        <w:widowControl w:val="0"/>
        <w:numPr>
          <w:ilvl w:val="0"/>
          <w:numId w:val="7"/>
        </w:numPr>
        <w:pBdr>
          <w:top w:val="nil"/>
          <w:left w:val="nil"/>
          <w:bottom w:val="nil"/>
          <w:right w:val="nil"/>
          <w:between w:val="nil"/>
        </w:pBdr>
        <w:ind w:left="630"/>
        <w:jc w:val="both"/>
        <w:rPr>
          <w:color w:val="000000"/>
          <w:sz w:val="22"/>
          <w:szCs w:val="22"/>
        </w:rPr>
      </w:pPr>
      <w:r>
        <w:rPr>
          <w:color w:val="000000"/>
          <w:sz w:val="22"/>
          <w:szCs w:val="22"/>
        </w:rPr>
        <w:t>Health and accident insurance that meets host-institution requirements.</w:t>
      </w:r>
    </w:p>
    <w:p w14:paraId="3B0D049F" w14:textId="77777777" w:rsidR="0080107F" w:rsidRDefault="00446509">
      <w:pPr>
        <w:widowControl w:val="0"/>
        <w:spacing w:before="260"/>
        <w:ind w:left="270" w:hanging="270"/>
        <w:jc w:val="both"/>
        <w:rPr>
          <w:sz w:val="22"/>
          <w:szCs w:val="22"/>
        </w:rPr>
      </w:pPr>
      <w:r>
        <w:rPr>
          <w:b/>
          <w:sz w:val="22"/>
          <w:szCs w:val="22"/>
        </w:rPr>
        <w:t>9.  Accommodation.</w:t>
      </w:r>
      <w:r>
        <w:rPr>
          <w:sz w:val="22"/>
          <w:szCs w:val="22"/>
        </w:rPr>
        <w:t xml:space="preserve">  The host institution will provide all necessary information about housing options and application procedures with each student’s notice of admission.</w:t>
      </w:r>
    </w:p>
    <w:p w14:paraId="7D772DA9" w14:textId="78CB5D1D" w:rsidR="0080107F" w:rsidRDefault="00446509">
      <w:pPr>
        <w:widowControl w:val="0"/>
        <w:spacing w:before="260"/>
        <w:ind w:left="360" w:hanging="360"/>
        <w:jc w:val="both"/>
        <w:rPr>
          <w:sz w:val="22"/>
          <w:szCs w:val="22"/>
        </w:rPr>
      </w:pPr>
      <w:r>
        <w:rPr>
          <w:b/>
          <w:sz w:val="22"/>
          <w:szCs w:val="22"/>
        </w:rPr>
        <w:t>10. Families.</w:t>
      </w:r>
      <w:r>
        <w:rPr>
          <w:sz w:val="22"/>
          <w:szCs w:val="22"/>
        </w:rPr>
        <w:t xml:space="preserve">  A student’s proposal to bring his or her spouse and/or dependents is subject to the host institution’s approval.  The exchange student will pay all additional costs</w:t>
      </w:r>
      <w:r w:rsidR="00073E50">
        <w:rPr>
          <w:sz w:val="22"/>
          <w:szCs w:val="22"/>
        </w:rPr>
        <w:t xml:space="preserve"> and is responsible for obtaining the appropriate immigration permits</w:t>
      </w:r>
      <w:r>
        <w:rPr>
          <w:sz w:val="22"/>
          <w:szCs w:val="22"/>
        </w:rPr>
        <w:t>.</w:t>
      </w:r>
    </w:p>
    <w:p w14:paraId="601FADCB" w14:textId="77777777" w:rsidR="0080107F" w:rsidRDefault="00446509">
      <w:pPr>
        <w:widowControl w:val="0"/>
        <w:spacing w:before="280"/>
        <w:ind w:left="360" w:hanging="360"/>
        <w:jc w:val="both"/>
        <w:rPr>
          <w:sz w:val="22"/>
          <w:szCs w:val="22"/>
        </w:rPr>
      </w:pPr>
      <w:r>
        <w:rPr>
          <w:b/>
          <w:sz w:val="22"/>
          <w:szCs w:val="22"/>
        </w:rPr>
        <w:t>11. Faculty and Staff Exchanges.</w:t>
      </w:r>
      <w:r>
        <w:rPr>
          <w:sz w:val="22"/>
          <w:szCs w:val="22"/>
        </w:rPr>
        <w:t xml:space="preserve">  The parties agree in principle to exchanges of faculty and administrative staff.  The details will be negotiated in advance and will be governed by both parties’ rules and policies.  The parties are not responsible for any arrangements made by participants for exchange of accommodations, cars, etc.</w:t>
      </w:r>
    </w:p>
    <w:p w14:paraId="3A5B3943" w14:textId="77777777" w:rsidR="0080107F" w:rsidRDefault="00446509">
      <w:pPr>
        <w:widowControl w:val="0"/>
        <w:spacing w:before="260"/>
        <w:ind w:left="360" w:hanging="360"/>
        <w:jc w:val="both"/>
        <w:rPr>
          <w:sz w:val="22"/>
          <w:szCs w:val="22"/>
        </w:rPr>
      </w:pPr>
      <w:r>
        <w:rPr>
          <w:b/>
          <w:sz w:val="22"/>
          <w:szCs w:val="22"/>
        </w:rPr>
        <w:t>12. Program Review.</w:t>
      </w:r>
      <w:r>
        <w:rPr>
          <w:sz w:val="22"/>
          <w:szCs w:val="22"/>
        </w:rPr>
        <w:t xml:space="preserve">  The parties will evaluate the exchange program at least every two years to make any needed changes and to explore new opportunities for collaboration.</w:t>
      </w:r>
    </w:p>
    <w:p w14:paraId="58B0841F" w14:textId="77777777" w:rsidR="0080107F" w:rsidRDefault="00446509">
      <w:pPr>
        <w:widowControl w:val="0"/>
        <w:spacing w:before="280"/>
        <w:ind w:left="360" w:hanging="346"/>
        <w:jc w:val="both"/>
        <w:rPr>
          <w:sz w:val="22"/>
          <w:szCs w:val="22"/>
        </w:rPr>
      </w:pPr>
      <w:r>
        <w:rPr>
          <w:b/>
          <w:sz w:val="22"/>
          <w:szCs w:val="22"/>
        </w:rPr>
        <w:t>13. Direct Enrollment.</w:t>
      </w:r>
      <w:r>
        <w:rPr>
          <w:sz w:val="22"/>
          <w:szCs w:val="22"/>
        </w:rPr>
        <w:t xml:space="preserve">  Students may apply for direct enrollment at the host institution through the regular admission process and must pay all required tuition, fees, and other applicable costs.  This Agreement does not apply to direct-enrollment students.</w:t>
      </w:r>
    </w:p>
    <w:p w14:paraId="06C98FBA" w14:textId="77777777" w:rsidR="0080107F" w:rsidRDefault="0080107F">
      <w:pPr>
        <w:ind w:right="54"/>
        <w:jc w:val="both"/>
        <w:rPr>
          <w:sz w:val="22"/>
          <w:szCs w:val="22"/>
        </w:rPr>
      </w:pPr>
    </w:p>
    <w:p w14:paraId="7D9B8CB6" w14:textId="77777777" w:rsidR="0080107F" w:rsidRDefault="00446509">
      <w:pPr>
        <w:pBdr>
          <w:top w:val="nil"/>
          <w:left w:val="nil"/>
          <w:bottom w:val="nil"/>
          <w:right w:val="nil"/>
          <w:between w:val="nil"/>
        </w:pBdr>
        <w:jc w:val="both"/>
        <w:rPr>
          <w:b/>
          <w:color w:val="000000"/>
          <w:sz w:val="22"/>
          <w:szCs w:val="22"/>
        </w:rPr>
      </w:pPr>
      <w:r>
        <w:rPr>
          <w:b/>
          <w:color w:val="000000"/>
          <w:sz w:val="22"/>
          <w:szCs w:val="22"/>
        </w:rPr>
        <w:t>14. Term, Renewal, Amendment, Termination, and Dispute Resolution.</w:t>
      </w:r>
    </w:p>
    <w:p w14:paraId="53722085" w14:textId="77777777" w:rsidR="0080107F" w:rsidRDefault="00446509">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This Agreement shall become effective for an initial term of five (5) years from the date of the last signature by the parties’ duly authorized representatives and shall</w:t>
      </w:r>
      <w:r>
        <w:rPr>
          <w:color w:val="000000"/>
        </w:rPr>
        <w:t xml:space="preserve"> be </w:t>
      </w:r>
      <w:r>
        <w:rPr>
          <w:color w:val="000000"/>
          <w:sz w:val="22"/>
          <w:szCs w:val="22"/>
        </w:rPr>
        <w:t xml:space="preserve">automatically </w:t>
      </w:r>
      <w:r>
        <w:rPr>
          <w:sz w:val="22"/>
          <w:szCs w:val="22"/>
        </w:rPr>
        <w:t>renewed</w:t>
      </w:r>
      <w:r>
        <w:rPr>
          <w:color w:val="000000"/>
          <w:sz w:val="22"/>
          <w:szCs w:val="22"/>
        </w:rPr>
        <w:t xml:space="preserve"> for successive five-year terms unless terminated as provided below.</w:t>
      </w:r>
    </w:p>
    <w:p w14:paraId="5C5678A3" w14:textId="77777777" w:rsidR="0080107F" w:rsidRDefault="00446509">
      <w:pPr>
        <w:numPr>
          <w:ilvl w:val="0"/>
          <w:numId w:val="5"/>
        </w:numPr>
        <w:pBdr>
          <w:top w:val="nil"/>
          <w:left w:val="nil"/>
          <w:bottom w:val="nil"/>
          <w:right w:val="nil"/>
          <w:between w:val="nil"/>
        </w:pBdr>
        <w:jc w:val="both"/>
        <w:rPr>
          <w:color w:val="000000"/>
          <w:sz w:val="22"/>
          <w:szCs w:val="22"/>
        </w:rPr>
      </w:pPr>
      <w:r>
        <w:rPr>
          <w:color w:val="000000"/>
          <w:sz w:val="22"/>
          <w:szCs w:val="22"/>
        </w:rPr>
        <w:t>This Agreement may not be amended except by an instrument in writing signed by the duly authorized representatives of each party.</w:t>
      </w:r>
    </w:p>
    <w:p w14:paraId="7C5EFBBF" w14:textId="77777777" w:rsidR="0080107F" w:rsidRDefault="00446509">
      <w:pPr>
        <w:numPr>
          <w:ilvl w:val="0"/>
          <w:numId w:val="5"/>
        </w:numPr>
        <w:pBdr>
          <w:top w:val="nil"/>
          <w:left w:val="nil"/>
          <w:bottom w:val="nil"/>
          <w:right w:val="nil"/>
          <w:between w:val="nil"/>
        </w:pBdr>
        <w:jc w:val="both"/>
        <w:rPr>
          <w:color w:val="000000"/>
          <w:sz w:val="22"/>
          <w:szCs w:val="22"/>
        </w:rPr>
      </w:pPr>
      <w:r>
        <w:rPr>
          <w:color w:val="000000"/>
          <w:sz w:val="22"/>
          <w:szCs w:val="22"/>
        </w:rPr>
        <w:t>Either party may terminate this Agreement by giving the other party at least 180 days’ written notice, but any students who have been accepted at either institution at the date of termination may complete their courses of study in accordance with this Agreement.  Termination shall be without penalty.</w:t>
      </w:r>
    </w:p>
    <w:p w14:paraId="62ECDC39" w14:textId="7087A89C" w:rsidR="0080107F" w:rsidRPr="00C927A5" w:rsidRDefault="00446509" w:rsidP="00C927A5">
      <w:pPr>
        <w:numPr>
          <w:ilvl w:val="0"/>
          <w:numId w:val="5"/>
        </w:numPr>
        <w:pBdr>
          <w:top w:val="nil"/>
          <w:left w:val="nil"/>
          <w:bottom w:val="nil"/>
          <w:right w:val="nil"/>
          <w:between w:val="nil"/>
        </w:pBdr>
        <w:jc w:val="both"/>
        <w:rPr>
          <w:color w:val="000000"/>
          <w:sz w:val="22"/>
          <w:szCs w:val="22"/>
        </w:rPr>
      </w:pPr>
      <w:r>
        <w:rPr>
          <w:color w:val="000000"/>
          <w:sz w:val="22"/>
          <w:szCs w:val="22"/>
        </w:rPr>
        <w:t>This Agreement is signed in good faith and in accordance with the administrative rules and procedures governing each party.  Therefore, any dispute that may arise concerning its interpretation and implementation will be resolved amicably through negotiations</w:t>
      </w:r>
      <w:r w:rsidR="00C927A5">
        <w:rPr>
          <w:color w:val="000000"/>
          <w:sz w:val="22"/>
          <w:szCs w:val="22"/>
        </w:rPr>
        <w:t xml:space="preserve"> by </w:t>
      </w:r>
      <w:r w:rsidR="00C927A5" w:rsidRPr="00662BE7">
        <w:rPr>
          <w:color w:val="000000"/>
          <w:sz w:val="22"/>
          <w:szCs w:val="22"/>
        </w:rPr>
        <w:t>the heads of university administration at both Institutions</w:t>
      </w:r>
      <w:r>
        <w:rPr>
          <w:color w:val="000000"/>
          <w:sz w:val="22"/>
          <w:szCs w:val="22"/>
        </w:rPr>
        <w:t>.</w:t>
      </w:r>
      <w:r w:rsidR="00073E50">
        <w:rPr>
          <w:color w:val="000000"/>
          <w:sz w:val="22"/>
          <w:szCs w:val="22"/>
        </w:rPr>
        <w:t xml:space="preserve"> </w:t>
      </w:r>
    </w:p>
    <w:p w14:paraId="33C97111" w14:textId="77777777" w:rsidR="0080107F" w:rsidRDefault="0080107F">
      <w:pPr>
        <w:ind w:left="360" w:hanging="360"/>
        <w:jc w:val="both"/>
        <w:rPr>
          <w:sz w:val="22"/>
          <w:szCs w:val="22"/>
        </w:rPr>
      </w:pPr>
    </w:p>
    <w:p w14:paraId="52036467" w14:textId="77777777" w:rsidR="0080107F" w:rsidRDefault="0080107F">
      <w:pPr>
        <w:ind w:left="-180"/>
        <w:jc w:val="both"/>
        <w:rPr>
          <w:sz w:val="22"/>
          <w:szCs w:val="22"/>
        </w:rPr>
      </w:pPr>
    </w:p>
    <w:p w14:paraId="672FAB57" w14:textId="77777777" w:rsidR="0080107F" w:rsidRDefault="00446509">
      <w:pPr>
        <w:ind w:left="360" w:hanging="360"/>
        <w:jc w:val="both"/>
        <w:rPr>
          <w:sz w:val="22"/>
          <w:szCs w:val="22"/>
        </w:rPr>
      </w:pPr>
      <w:r>
        <w:rPr>
          <w:b/>
          <w:sz w:val="22"/>
          <w:szCs w:val="22"/>
        </w:rPr>
        <w:t>15. Notices.</w:t>
      </w:r>
      <w:r>
        <w:rPr>
          <w:sz w:val="22"/>
          <w:szCs w:val="22"/>
        </w:rPr>
        <w:t xml:space="preserve">  All notices required hereunder shall be in writing and delivered by a duly authorized representative of the Party giving the notice and sent by email to the following addresses.  Either Party may change its email address for notice purposes by providing prior written notice to the other party.  Any notice sent by email shall be deemed to have been delivered at the time of confirmation of receipt.</w:t>
      </w:r>
    </w:p>
    <w:p w14:paraId="2ACD2656" w14:textId="77777777" w:rsidR="0080107F" w:rsidRDefault="0080107F">
      <w:pPr>
        <w:jc w:val="both"/>
        <w:rPr>
          <w:sz w:val="22"/>
          <w:szCs w:val="22"/>
        </w:rPr>
      </w:pPr>
    </w:p>
    <w:p w14:paraId="1B448324" w14:textId="77777777" w:rsidR="0080107F" w:rsidRDefault="0080107F">
      <w:pPr>
        <w:jc w:val="both"/>
        <w:rPr>
          <w:sz w:val="22"/>
          <w:szCs w:val="22"/>
        </w:rPr>
        <w:sectPr w:rsidR="0080107F" w:rsidSect="009954F6">
          <w:headerReference w:type="default" r:id="rId8"/>
          <w:footerReference w:type="even" r:id="rId9"/>
          <w:footerReference w:type="default" r:id="rId10"/>
          <w:headerReference w:type="first" r:id="rId11"/>
          <w:pgSz w:w="11900" w:h="16820"/>
          <w:pgMar w:top="1296" w:right="1296" w:bottom="1296" w:left="1296" w:header="720" w:footer="720" w:gutter="0"/>
          <w:pgNumType w:start="1"/>
          <w:cols w:space="720"/>
          <w:docGrid w:linePitch="326"/>
        </w:sectPr>
      </w:pPr>
    </w:p>
    <w:p w14:paraId="2E67C403" w14:textId="3D504216" w:rsidR="0080107F" w:rsidRDefault="00326191">
      <w:pPr>
        <w:ind w:left="-270"/>
        <w:jc w:val="both"/>
        <w:rPr>
          <w:sz w:val="20"/>
          <w:szCs w:val="20"/>
          <w:shd w:val="clear" w:color="auto" w:fill="FFE599"/>
        </w:rPr>
      </w:pPr>
      <w:r w:rsidRPr="00326191">
        <w:rPr>
          <w:sz w:val="20"/>
          <w:szCs w:val="20"/>
        </w:rPr>
        <w:t xml:space="preserve">Secretariat for </w:t>
      </w:r>
      <w:proofErr w:type="spellStart"/>
      <w:r w:rsidRPr="00326191">
        <w:rPr>
          <w:sz w:val="20"/>
          <w:szCs w:val="20"/>
        </w:rPr>
        <w:t>Internationalisation</w:t>
      </w:r>
      <w:proofErr w:type="spellEnd"/>
      <w:r w:rsidRPr="00326191">
        <w:rPr>
          <w:sz w:val="20"/>
          <w:szCs w:val="20"/>
        </w:rPr>
        <w:t xml:space="preserve"> and International Cooperation</w:t>
      </w:r>
      <w:r w:rsidR="00446509">
        <w:rPr>
          <w:sz w:val="20"/>
          <w:szCs w:val="20"/>
          <w:shd w:val="clear" w:color="auto" w:fill="FFE599"/>
        </w:rPr>
        <w:t xml:space="preserve"> </w:t>
      </w:r>
    </w:p>
    <w:p w14:paraId="5DD768F3" w14:textId="194EBC65" w:rsidR="0080107F" w:rsidRDefault="00446509">
      <w:pPr>
        <w:ind w:left="-270"/>
        <w:jc w:val="both"/>
        <w:rPr>
          <w:sz w:val="20"/>
          <w:szCs w:val="20"/>
        </w:rPr>
      </w:pPr>
      <w:r>
        <w:rPr>
          <w:sz w:val="20"/>
          <w:szCs w:val="20"/>
        </w:rPr>
        <w:t xml:space="preserve">Universidad Nacional de </w:t>
      </w:r>
      <w:r w:rsidR="00326191">
        <w:rPr>
          <w:sz w:val="20"/>
          <w:szCs w:val="20"/>
        </w:rPr>
        <w:t xml:space="preserve">General </w:t>
      </w:r>
      <w:r>
        <w:rPr>
          <w:sz w:val="20"/>
          <w:szCs w:val="20"/>
        </w:rPr>
        <w:t>San Martín</w:t>
      </w:r>
    </w:p>
    <w:p w14:paraId="2BE22585" w14:textId="77777777" w:rsidR="0080107F" w:rsidRDefault="00446509">
      <w:pPr>
        <w:ind w:left="-270"/>
        <w:jc w:val="both"/>
        <w:rPr>
          <w:sz w:val="20"/>
          <w:szCs w:val="20"/>
        </w:rPr>
      </w:pPr>
      <w:proofErr w:type="spellStart"/>
      <w:r>
        <w:rPr>
          <w:color w:val="202124"/>
          <w:sz w:val="20"/>
          <w:szCs w:val="20"/>
        </w:rPr>
        <w:t>Edificio</w:t>
      </w:r>
      <w:proofErr w:type="spellEnd"/>
      <w:r>
        <w:rPr>
          <w:color w:val="202124"/>
          <w:sz w:val="20"/>
          <w:szCs w:val="20"/>
        </w:rPr>
        <w:t xml:space="preserve"> de </w:t>
      </w:r>
      <w:proofErr w:type="spellStart"/>
      <w:r>
        <w:rPr>
          <w:color w:val="202124"/>
          <w:sz w:val="20"/>
          <w:szCs w:val="20"/>
        </w:rPr>
        <w:t>Gobierno</w:t>
      </w:r>
      <w:proofErr w:type="spellEnd"/>
      <w:r>
        <w:rPr>
          <w:color w:val="202124"/>
          <w:sz w:val="20"/>
          <w:szCs w:val="20"/>
        </w:rPr>
        <w:t xml:space="preserve">: </w:t>
      </w:r>
      <w:r>
        <w:rPr>
          <w:sz w:val="20"/>
          <w:szCs w:val="20"/>
        </w:rPr>
        <w:t>25 de Mayo 1405</w:t>
      </w:r>
    </w:p>
    <w:p w14:paraId="1DC620BB" w14:textId="77777777" w:rsidR="0080107F" w:rsidRDefault="00446509">
      <w:pPr>
        <w:ind w:left="-270"/>
        <w:jc w:val="both"/>
        <w:rPr>
          <w:sz w:val="20"/>
          <w:szCs w:val="20"/>
        </w:rPr>
      </w:pPr>
      <w:r>
        <w:rPr>
          <w:sz w:val="20"/>
          <w:szCs w:val="20"/>
        </w:rPr>
        <w:t xml:space="preserve">CP 1650 San Martín. Province </w:t>
      </w:r>
      <w:proofErr w:type="gramStart"/>
      <w:r>
        <w:rPr>
          <w:sz w:val="20"/>
          <w:szCs w:val="20"/>
        </w:rPr>
        <w:t>of  Buenos</w:t>
      </w:r>
      <w:proofErr w:type="gramEnd"/>
      <w:r>
        <w:rPr>
          <w:sz w:val="20"/>
          <w:szCs w:val="20"/>
        </w:rPr>
        <w:t xml:space="preserve"> Aires,</w:t>
      </w:r>
    </w:p>
    <w:p w14:paraId="54E26F5D" w14:textId="77777777" w:rsidR="0080107F" w:rsidRPr="009954F6" w:rsidRDefault="00446509">
      <w:pPr>
        <w:ind w:left="-270"/>
        <w:jc w:val="both"/>
        <w:rPr>
          <w:sz w:val="20"/>
          <w:szCs w:val="20"/>
        </w:rPr>
      </w:pPr>
      <w:r w:rsidRPr="009954F6">
        <w:rPr>
          <w:sz w:val="20"/>
          <w:szCs w:val="20"/>
        </w:rPr>
        <w:t>Argentina</w:t>
      </w:r>
    </w:p>
    <w:p w14:paraId="0DD71CED" w14:textId="3A05BC05" w:rsidR="0080107F" w:rsidRPr="009954F6" w:rsidRDefault="00446509">
      <w:pPr>
        <w:ind w:left="-270"/>
        <w:jc w:val="both"/>
        <w:rPr>
          <w:sz w:val="20"/>
          <w:szCs w:val="20"/>
        </w:rPr>
      </w:pPr>
      <w:r w:rsidRPr="009954F6">
        <w:rPr>
          <w:sz w:val="20"/>
          <w:szCs w:val="20"/>
        </w:rPr>
        <w:t xml:space="preserve">e-mail: </w:t>
      </w:r>
      <w:hyperlink r:id="rId12" w:history="1">
        <w:r w:rsidR="00326191" w:rsidRPr="00264321">
          <w:rPr>
            <w:rStyle w:val="Hipervnculo"/>
            <w:sz w:val="20"/>
            <w:szCs w:val="20"/>
          </w:rPr>
          <w:t>i</w:t>
        </w:r>
        <w:r w:rsidR="00326191" w:rsidRPr="00264321">
          <w:rPr>
            <w:rStyle w:val="Hipervnculo"/>
            <w:sz w:val="20"/>
            <w:szCs w:val="20"/>
          </w:rPr>
          <w:t>n</w:t>
        </w:r>
        <w:r w:rsidR="00326191" w:rsidRPr="00264321">
          <w:rPr>
            <w:rStyle w:val="Hipervnculo"/>
            <w:sz w:val="20"/>
            <w:szCs w:val="20"/>
          </w:rPr>
          <w:t>ternacionales@unsam.edu.ar</w:t>
        </w:r>
      </w:hyperlink>
    </w:p>
    <w:p w14:paraId="107D7748" w14:textId="43D041E9" w:rsidR="0080107F" w:rsidRDefault="00DE65E2">
      <w:pPr>
        <w:ind w:left="-270"/>
        <w:jc w:val="both"/>
        <w:rPr>
          <w:sz w:val="20"/>
          <w:szCs w:val="20"/>
        </w:rPr>
      </w:pPr>
      <w:hyperlink r:id="rId13" w:history="1">
        <w:r w:rsidR="000E7280" w:rsidRPr="00BE0408">
          <w:rPr>
            <w:rStyle w:val="Hipervnculo"/>
            <w:sz w:val="20"/>
            <w:szCs w:val="20"/>
          </w:rPr>
          <w:t>http://unsam.edu.ar</w:t>
        </w:r>
      </w:hyperlink>
    </w:p>
    <w:p w14:paraId="3908F61D" w14:textId="77777777" w:rsidR="000E7280" w:rsidRDefault="000E7280">
      <w:pPr>
        <w:ind w:left="-270"/>
        <w:jc w:val="both"/>
        <w:rPr>
          <w:sz w:val="20"/>
          <w:szCs w:val="20"/>
        </w:rPr>
      </w:pPr>
    </w:p>
    <w:p w14:paraId="3C9AED18" w14:textId="77777777" w:rsidR="000E7280" w:rsidRDefault="000E7280" w:rsidP="000E7280">
      <w:pPr>
        <w:ind w:left="-270"/>
        <w:jc w:val="both"/>
        <w:rPr>
          <w:sz w:val="20"/>
          <w:szCs w:val="20"/>
        </w:rPr>
      </w:pPr>
      <w:r>
        <w:rPr>
          <w:sz w:val="20"/>
          <w:szCs w:val="20"/>
        </w:rPr>
        <w:t>International Office</w:t>
      </w:r>
    </w:p>
    <w:p w14:paraId="758BF0C9" w14:textId="2061B521" w:rsidR="000E7280" w:rsidRDefault="000E7280" w:rsidP="000E7280">
      <w:pPr>
        <w:ind w:left="-270"/>
        <w:jc w:val="both"/>
        <w:rPr>
          <w:sz w:val="20"/>
          <w:szCs w:val="20"/>
        </w:rPr>
      </w:pPr>
      <w:r>
        <w:rPr>
          <w:sz w:val="20"/>
          <w:szCs w:val="20"/>
        </w:rPr>
        <w:t>FHNW School of Life Sciences</w:t>
      </w:r>
    </w:p>
    <w:p w14:paraId="612D113A" w14:textId="5A727093" w:rsidR="000E7280" w:rsidRPr="009954F6" w:rsidRDefault="000E7280" w:rsidP="000E7280">
      <w:pPr>
        <w:ind w:left="-270"/>
        <w:jc w:val="both"/>
        <w:rPr>
          <w:sz w:val="20"/>
          <w:szCs w:val="20"/>
          <w:lang w:val="de-CH"/>
        </w:rPr>
      </w:pPr>
      <w:r w:rsidRPr="009954F6">
        <w:rPr>
          <w:sz w:val="20"/>
          <w:szCs w:val="20"/>
          <w:lang w:val="de-CH"/>
        </w:rPr>
        <w:t>Hofackerstrasse 30, 4132 Muttenz</w:t>
      </w:r>
    </w:p>
    <w:p w14:paraId="2A169DC7" w14:textId="032F2D5D" w:rsidR="000E7280" w:rsidRPr="009954F6" w:rsidRDefault="000E7280" w:rsidP="000E7280">
      <w:pPr>
        <w:ind w:left="-270"/>
        <w:jc w:val="both"/>
        <w:rPr>
          <w:sz w:val="20"/>
          <w:szCs w:val="20"/>
          <w:lang w:val="de-CH"/>
        </w:rPr>
      </w:pPr>
      <w:r w:rsidRPr="009954F6">
        <w:rPr>
          <w:sz w:val="20"/>
          <w:szCs w:val="20"/>
          <w:lang w:val="de-CH"/>
        </w:rPr>
        <w:t>Switzerland</w:t>
      </w:r>
    </w:p>
    <w:p w14:paraId="0C97F104" w14:textId="671777FC" w:rsidR="000E7280" w:rsidRDefault="000E7280" w:rsidP="000E7280">
      <w:pPr>
        <w:ind w:left="-270"/>
        <w:jc w:val="both"/>
        <w:rPr>
          <w:sz w:val="20"/>
          <w:szCs w:val="20"/>
          <w:lang w:val="de-CH"/>
        </w:rPr>
      </w:pPr>
      <w:r w:rsidRPr="000E7280">
        <w:rPr>
          <w:sz w:val="20"/>
          <w:szCs w:val="20"/>
          <w:lang w:val="de-CH"/>
        </w:rPr>
        <w:t xml:space="preserve">e-mail: </w:t>
      </w:r>
      <w:hyperlink r:id="rId14" w:history="1">
        <w:r w:rsidRPr="00BE0408">
          <w:rPr>
            <w:rStyle w:val="Hipervnculo"/>
            <w:sz w:val="20"/>
            <w:szCs w:val="20"/>
            <w:lang w:val="de-CH"/>
          </w:rPr>
          <w:t>international.lifesciences@fhnw.ch</w:t>
        </w:r>
      </w:hyperlink>
    </w:p>
    <w:p w14:paraId="22159CD0" w14:textId="15DEE09B" w:rsidR="000E7280" w:rsidRPr="000E7280" w:rsidRDefault="00DE65E2" w:rsidP="000E7280">
      <w:pPr>
        <w:ind w:left="-270"/>
        <w:jc w:val="both"/>
        <w:rPr>
          <w:sz w:val="20"/>
          <w:szCs w:val="20"/>
          <w:lang w:val="de-CH"/>
        </w:rPr>
      </w:pPr>
      <w:hyperlink r:id="rId15" w:history="1">
        <w:r w:rsidR="000E7280" w:rsidRPr="00BE0408">
          <w:rPr>
            <w:rStyle w:val="Hipervnculo"/>
            <w:sz w:val="20"/>
            <w:szCs w:val="20"/>
            <w:lang w:val="de-CH"/>
          </w:rPr>
          <w:t>https://www.fhnw.ch/en/degree-programmes/lifesciences/international</w:t>
        </w:r>
      </w:hyperlink>
      <w:r w:rsidR="000E7280">
        <w:rPr>
          <w:sz w:val="20"/>
          <w:szCs w:val="20"/>
          <w:lang w:val="de-CH"/>
        </w:rPr>
        <w:t xml:space="preserve"> </w:t>
      </w:r>
    </w:p>
    <w:p w14:paraId="35A2E1CE" w14:textId="77777777" w:rsidR="000E7280" w:rsidRPr="000E7280" w:rsidRDefault="000E7280" w:rsidP="000E7280">
      <w:pPr>
        <w:ind w:left="-270"/>
        <w:jc w:val="both"/>
        <w:rPr>
          <w:sz w:val="20"/>
          <w:szCs w:val="20"/>
          <w:lang w:val="de-CH"/>
        </w:rPr>
      </w:pPr>
    </w:p>
    <w:p w14:paraId="7AAF59F6" w14:textId="282CC562" w:rsidR="000E7280" w:rsidRPr="000E7280" w:rsidRDefault="000E7280" w:rsidP="000E7280">
      <w:pPr>
        <w:ind w:left="-270"/>
        <w:jc w:val="both"/>
        <w:rPr>
          <w:sz w:val="20"/>
          <w:szCs w:val="20"/>
          <w:lang w:val="de-CH"/>
        </w:rPr>
        <w:sectPr w:rsidR="000E7280" w:rsidRPr="000E7280">
          <w:type w:val="continuous"/>
          <w:pgSz w:w="11900" w:h="16820"/>
          <w:pgMar w:top="1440" w:right="1440" w:bottom="1440" w:left="1440" w:header="720" w:footer="720" w:gutter="0"/>
          <w:cols w:num="2" w:space="720" w:equalWidth="0">
            <w:col w:w="4230" w:space="560"/>
            <w:col w:w="4230" w:space="0"/>
          </w:cols>
          <w:titlePg/>
        </w:sectPr>
      </w:pPr>
    </w:p>
    <w:p w14:paraId="341B3006" w14:textId="77777777" w:rsidR="0080107F" w:rsidRPr="000E7280" w:rsidRDefault="0080107F">
      <w:pPr>
        <w:pBdr>
          <w:top w:val="nil"/>
          <w:left w:val="nil"/>
          <w:bottom w:val="nil"/>
          <w:right w:val="nil"/>
          <w:between w:val="nil"/>
        </w:pBdr>
        <w:jc w:val="both"/>
        <w:rPr>
          <w:color w:val="000000"/>
          <w:sz w:val="22"/>
          <w:szCs w:val="22"/>
          <w:lang w:val="de-CH"/>
        </w:rPr>
      </w:pPr>
    </w:p>
    <w:p w14:paraId="1EB10B73" w14:textId="77777777" w:rsidR="0080107F" w:rsidRDefault="00446509">
      <w:pPr>
        <w:pBdr>
          <w:top w:val="nil"/>
          <w:left w:val="nil"/>
          <w:bottom w:val="nil"/>
          <w:right w:val="nil"/>
          <w:between w:val="nil"/>
        </w:pBdr>
        <w:jc w:val="both"/>
        <w:rPr>
          <w:color w:val="000000"/>
          <w:sz w:val="22"/>
          <w:szCs w:val="22"/>
        </w:rPr>
      </w:pPr>
      <w:r>
        <w:rPr>
          <w:color w:val="000000"/>
          <w:sz w:val="22"/>
          <w:szCs w:val="22"/>
        </w:rPr>
        <w:t>This document memorializes the parties’ entire agreement.  The parties shall sign four (4) originals of this Agreement, two (2) in English and two (2) in Spanish.  Each party shall retain one original in each language.  Any conflict between the English and Spanish versions will be resolved in favor of the English version.</w:t>
      </w:r>
    </w:p>
    <w:p w14:paraId="09110B8E" w14:textId="77777777" w:rsidR="0080107F" w:rsidRDefault="0080107F">
      <w:pPr>
        <w:pBdr>
          <w:top w:val="nil"/>
          <w:left w:val="nil"/>
          <w:bottom w:val="nil"/>
          <w:right w:val="nil"/>
          <w:between w:val="nil"/>
        </w:pBdr>
        <w:rPr>
          <w:b/>
          <w:color w:val="000000"/>
          <w:sz w:val="22"/>
          <w:szCs w:val="22"/>
        </w:rPr>
      </w:pPr>
    </w:p>
    <w:p w14:paraId="6DF4F2B7" w14:textId="77777777" w:rsidR="0080107F" w:rsidRDefault="0080107F">
      <w:pPr>
        <w:pBdr>
          <w:top w:val="nil"/>
          <w:left w:val="nil"/>
          <w:bottom w:val="nil"/>
          <w:right w:val="nil"/>
          <w:between w:val="nil"/>
        </w:pBdr>
        <w:rPr>
          <w:b/>
          <w:color w:val="000000"/>
          <w:sz w:val="22"/>
          <w:szCs w:val="22"/>
        </w:rPr>
      </w:pPr>
    </w:p>
    <w:tbl>
      <w:tblPr>
        <w:tblStyle w:val="a"/>
        <w:tblW w:w="930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686"/>
        <w:gridCol w:w="4622"/>
      </w:tblGrid>
      <w:tr w:rsidR="0080107F" w14:paraId="38E3FDCD" w14:textId="77777777">
        <w:trPr>
          <w:trHeight w:val="3500"/>
        </w:trPr>
        <w:tc>
          <w:tcPr>
            <w:tcW w:w="4686" w:type="dxa"/>
          </w:tcPr>
          <w:p w14:paraId="69105628" w14:textId="0A9B13CF" w:rsidR="0080107F" w:rsidRDefault="000E7280">
            <w:pPr>
              <w:pBdr>
                <w:top w:val="nil"/>
                <w:left w:val="nil"/>
                <w:bottom w:val="nil"/>
                <w:right w:val="nil"/>
                <w:between w:val="nil"/>
              </w:pBdr>
              <w:rPr>
                <w:color w:val="000000"/>
                <w:sz w:val="22"/>
                <w:szCs w:val="22"/>
              </w:rPr>
            </w:pPr>
            <w:r>
              <w:rPr>
                <w:color w:val="000000"/>
                <w:sz w:val="22"/>
                <w:szCs w:val="22"/>
              </w:rPr>
              <w:t>FHNW School of Life Sciences</w:t>
            </w:r>
          </w:p>
          <w:p w14:paraId="7657F38D" w14:textId="77777777" w:rsidR="000E7280" w:rsidRDefault="000E7280">
            <w:pPr>
              <w:pBdr>
                <w:top w:val="nil"/>
                <w:left w:val="nil"/>
                <w:bottom w:val="nil"/>
                <w:right w:val="nil"/>
                <w:between w:val="nil"/>
              </w:pBdr>
              <w:rPr>
                <w:color w:val="000000"/>
                <w:sz w:val="22"/>
                <w:szCs w:val="22"/>
              </w:rPr>
            </w:pPr>
          </w:p>
          <w:p w14:paraId="32C62A27" w14:textId="77777777" w:rsidR="0080107F" w:rsidRDefault="0080107F">
            <w:pPr>
              <w:pBdr>
                <w:top w:val="nil"/>
                <w:left w:val="nil"/>
                <w:bottom w:val="nil"/>
                <w:right w:val="nil"/>
                <w:between w:val="nil"/>
              </w:pBdr>
              <w:rPr>
                <w:color w:val="000000"/>
                <w:sz w:val="22"/>
                <w:szCs w:val="22"/>
              </w:rPr>
            </w:pPr>
          </w:p>
          <w:p w14:paraId="3FEF712D" w14:textId="77777777" w:rsidR="000E7280" w:rsidRDefault="000E7280">
            <w:pPr>
              <w:pBdr>
                <w:top w:val="nil"/>
                <w:left w:val="nil"/>
                <w:bottom w:val="nil"/>
                <w:right w:val="nil"/>
                <w:between w:val="nil"/>
              </w:pBdr>
              <w:rPr>
                <w:color w:val="000000"/>
                <w:sz w:val="22"/>
                <w:szCs w:val="22"/>
              </w:rPr>
            </w:pPr>
          </w:p>
          <w:p w14:paraId="7AA3185A" w14:textId="77777777" w:rsidR="000E7280" w:rsidRDefault="000E7280">
            <w:pPr>
              <w:pBdr>
                <w:top w:val="nil"/>
                <w:left w:val="nil"/>
                <w:bottom w:val="nil"/>
                <w:right w:val="nil"/>
                <w:between w:val="nil"/>
              </w:pBdr>
              <w:rPr>
                <w:color w:val="000000"/>
                <w:sz w:val="22"/>
                <w:szCs w:val="22"/>
              </w:rPr>
            </w:pPr>
          </w:p>
          <w:p w14:paraId="774BEA0A" w14:textId="77777777" w:rsidR="0080107F" w:rsidRDefault="00446509">
            <w:pPr>
              <w:pBdr>
                <w:top w:val="nil"/>
                <w:left w:val="nil"/>
                <w:bottom w:val="nil"/>
                <w:right w:val="nil"/>
                <w:between w:val="nil"/>
              </w:pBdr>
              <w:rPr>
                <w:color w:val="000000"/>
                <w:sz w:val="22"/>
                <w:szCs w:val="22"/>
              </w:rPr>
            </w:pPr>
            <w:r>
              <w:rPr>
                <w:color w:val="000000"/>
                <w:sz w:val="22"/>
                <w:szCs w:val="22"/>
              </w:rPr>
              <w:t>_______________________________________</w:t>
            </w:r>
          </w:p>
          <w:p w14:paraId="365E739A" w14:textId="2B4C5443" w:rsidR="0080107F" w:rsidRDefault="000E7280">
            <w:pPr>
              <w:jc w:val="both"/>
              <w:rPr>
                <w:sz w:val="22"/>
                <w:szCs w:val="22"/>
              </w:rPr>
            </w:pPr>
            <w:r>
              <w:rPr>
                <w:sz w:val="22"/>
                <w:szCs w:val="22"/>
              </w:rPr>
              <w:t>Prof. Dr. Falko Schlottig</w:t>
            </w:r>
          </w:p>
          <w:p w14:paraId="5D4E1CF5" w14:textId="7CFCD57C" w:rsidR="000E7280" w:rsidRDefault="000E7280">
            <w:pPr>
              <w:jc w:val="both"/>
              <w:rPr>
                <w:sz w:val="22"/>
                <w:szCs w:val="22"/>
                <w:highlight w:val="white"/>
              </w:rPr>
            </w:pPr>
            <w:r>
              <w:rPr>
                <w:sz w:val="22"/>
                <w:szCs w:val="22"/>
              </w:rPr>
              <w:t>Director, FHNW School of Life Sciences</w:t>
            </w:r>
          </w:p>
          <w:p w14:paraId="6085990F" w14:textId="77777777" w:rsidR="0080107F" w:rsidRDefault="0080107F">
            <w:pPr>
              <w:pBdr>
                <w:top w:val="nil"/>
                <w:left w:val="nil"/>
                <w:bottom w:val="nil"/>
                <w:right w:val="nil"/>
                <w:between w:val="nil"/>
              </w:pBdr>
              <w:rPr>
                <w:sz w:val="22"/>
                <w:szCs w:val="22"/>
              </w:rPr>
            </w:pPr>
          </w:p>
          <w:p w14:paraId="4279D825" w14:textId="77777777" w:rsidR="0080107F" w:rsidRDefault="0080107F">
            <w:pPr>
              <w:pBdr>
                <w:top w:val="nil"/>
                <w:left w:val="nil"/>
                <w:bottom w:val="nil"/>
                <w:right w:val="nil"/>
                <w:between w:val="nil"/>
              </w:pBdr>
              <w:rPr>
                <w:color w:val="000000"/>
                <w:sz w:val="22"/>
                <w:szCs w:val="22"/>
              </w:rPr>
            </w:pPr>
          </w:p>
          <w:p w14:paraId="5765E081" w14:textId="77777777" w:rsidR="0080107F" w:rsidRDefault="00446509">
            <w:pPr>
              <w:pBdr>
                <w:top w:val="nil"/>
                <w:left w:val="nil"/>
                <w:bottom w:val="nil"/>
                <w:right w:val="nil"/>
                <w:between w:val="nil"/>
              </w:pBdr>
              <w:rPr>
                <w:color w:val="000000"/>
                <w:sz w:val="22"/>
                <w:szCs w:val="22"/>
              </w:rPr>
            </w:pPr>
            <w:r>
              <w:rPr>
                <w:color w:val="000000"/>
                <w:sz w:val="22"/>
                <w:szCs w:val="22"/>
              </w:rPr>
              <w:t>_______________________</w:t>
            </w:r>
          </w:p>
          <w:p w14:paraId="7A628DA6" w14:textId="77777777" w:rsidR="0080107F" w:rsidRDefault="00446509">
            <w:pPr>
              <w:pBdr>
                <w:top w:val="nil"/>
                <w:left w:val="nil"/>
                <w:bottom w:val="nil"/>
                <w:right w:val="nil"/>
                <w:between w:val="nil"/>
              </w:pBdr>
              <w:rPr>
                <w:color w:val="000000"/>
                <w:sz w:val="22"/>
                <w:szCs w:val="22"/>
              </w:rPr>
            </w:pPr>
            <w:r>
              <w:rPr>
                <w:color w:val="000000"/>
                <w:sz w:val="22"/>
                <w:szCs w:val="22"/>
              </w:rPr>
              <w:t>Date</w:t>
            </w:r>
          </w:p>
          <w:p w14:paraId="31E122E0" w14:textId="77777777" w:rsidR="0080107F" w:rsidRDefault="0080107F">
            <w:pPr>
              <w:pBdr>
                <w:top w:val="nil"/>
                <w:left w:val="nil"/>
                <w:bottom w:val="nil"/>
                <w:right w:val="nil"/>
                <w:between w:val="nil"/>
              </w:pBdr>
              <w:rPr>
                <w:color w:val="000000"/>
                <w:sz w:val="22"/>
                <w:szCs w:val="22"/>
              </w:rPr>
            </w:pPr>
          </w:p>
        </w:tc>
        <w:tc>
          <w:tcPr>
            <w:tcW w:w="4622" w:type="dxa"/>
          </w:tcPr>
          <w:p w14:paraId="2503B1BC" w14:textId="77777777" w:rsidR="0080107F" w:rsidRDefault="00446509">
            <w:pPr>
              <w:pBdr>
                <w:top w:val="nil"/>
                <w:left w:val="nil"/>
                <w:bottom w:val="nil"/>
                <w:right w:val="nil"/>
                <w:between w:val="nil"/>
              </w:pBdr>
              <w:rPr>
                <w:color w:val="000000"/>
              </w:rPr>
            </w:pPr>
            <w:r>
              <w:rPr>
                <w:color w:val="000000"/>
                <w:sz w:val="22"/>
                <w:szCs w:val="22"/>
              </w:rPr>
              <w:t>Universidad Nacional de Gen</w:t>
            </w:r>
            <w:r>
              <w:rPr>
                <w:sz w:val="22"/>
                <w:szCs w:val="22"/>
              </w:rPr>
              <w:t xml:space="preserve">eral </w:t>
            </w:r>
            <w:r>
              <w:rPr>
                <w:color w:val="000000"/>
                <w:sz w:val="22"/>
                <w:szCs w:val="22"/>
              </w:rPr>
              <w:t>San Martin</w:t>
            </w:r>
          </w:p>
          <w:p w14:paraId="19C64248" w14:textId="77777777" w:rsidR="0080107F" w:rsidRDefault="0080107F">
            <w:pPr>
              <w:pBdr>
                <w:top w:val="nil"/>
                <w:left w:val="nil"/>
                <w:bottom w:val="nil"/>
                <w:right w:val="nil"/>
                <w:between w:val="nil"/>
              </w:pBdr>
              <w:rPr>
                <w:color w:val="000000"/>
                <w:sz w:val="22"/>
                <w:szCs w:val="22"/>
              </w:rPr>
            </w:pPr>
          </w:p>
          <w:p w14:paraId="2A5D17B2" w14:textId="77777777" w:rsidR="000E7280" w:rsidRDefault="000E7280">
            <w:pPr>
              <w:pBdr>
                <w:top w:val="nil"/>
                <w:left w:val="nil"/>
                <w:bottom w:val="nil"/>
                <w:right w:val="nil"/>
                <w:between w:val="nil"/>
              </w:pBdr>
              <w:rPr>
                <w:color w:val="000000"/>
                <w:sz w:val="22"/>
                <w:szCs w:val="22"/>
              </w:rPr>
            </w:pPr>
          </w:p>
          <w:p w14:paraId="2A57F42E" w14:textId="77777777" w:rsidR="000E7280" w:rsidRDefault="000E7280">
            <w:pPr>
              <w:pBdr>
                <w:top w:val="nil"/>
                <w:left w:val="nil"/>
                <w:bottom w:val="nil"/>
                <w:right w:val="nil"/>
                <w:between w:val="nil"/>
              </w:pBdr>
              <w:rPr>
                <w:color w:val="000000"/>
                <w:sz w:val="22"/>
                <w:szCs w:val="22"/>
              </w:rPr>
            </w:pPr>
          </w:p>
          <w:p w14:paraId="1FB9706F" w14:textId="77777777" w:rsidR="000E7280" w:rsidRDefault="000E7280">
            <w:pPr>
              <w:pBdr>
                <w:top w:val="nil"/>
                <w:left w:val="nil"/>
                <w:bottom w:val="nil"/>
                <w:right w:val="nil"/>
                <w:between w:val="nil"/>
              </w:pBdr>
              <w:rPr>
                <w:color w:val="000000"/>
                <w:sz w:val="22"/>
                <w:szCs w:val="22"/>
              </w:rPr>
            </w:pPr>
          </w:p>
          <w:p w14:paraId="65E9747C" w14:textId="5E34CAE1" w:rsidR="0080107F" w:rsidRDefault="00446509">
            <w:pPr>
              <w:pBdr>
                <w:top w:val="nil"/>
                <w:left w:val="nil"/>
                <w:bottom w:val="nil"/>
                <w:right w:val="nil"/>
                <w:between w:val="nil"/>
              </w:pBdr>
              <w:rPr>
                <w:color w:val="000000"/>
                <w:sz w:val="22"/>
                <w:szCs w:val="22"/>
              </w:rPr>
            </w:pPr>
            <w:r>
              <w:rPr>
                <w:color w:val="000000"/>
                <w:sz w:val="22"/>
                <w:szCs w:val="22"/>
              </w:rPr>
              <w:t>_____________________________________</w:t>
            </w:r>
          </w:p>
          <w:p w14:paraId="482698F4" w14:textId="77777777" w:rsidR="0080107F" w:rsidRDefault="00446509">
            <w:pPr>
              <w:pBdr>
                <w:top w:val="nil"/>
                <w:left w:val="nil"/>
                <w:bottom w:val="nil"/>
                <w:right w:val="nil"/>
                <w:between w:val="nil"/>
              </w:pBdr>
              <w:rPr>
                <w:color w:val="000000"/>
                <w:sz w:val="22"/>
                <w:szCs w:val="22"/>
              </w:rPr>
            </w:pPr>
            <w:proofErr w:type="spellStart"/>
            <w:r>
              <w:rPr>
                <w:color w:val="000000"/>
                <w:sz w:val="22"/>
                <w:szCs w:val="22"/>
              </w:rPr>
              <w:t>Cdor</w:t>
            </w:r>
            <w:proofErr w:type="spellEnd"/>
            <w:r>
              <w:rPr>
                <w:color w:val="000000"/>
                <w:sz w:val="22"/>
                <w:szCs w:val="22"/>
              </w:rPr>
              <w:t>. Carlos Greco</w:t>
            </w:r>
          </w:p>
          <w:p w14:paraId="0BC6B5AA" w14:textId="77777777" w:rsidR="0080107F" w:rsidRDefault="00446509">
            <w:pPr>
              <w:pBdr>
                <w:top w:val="nil"/>
                <w:left w:val="nil"/>
                <w:bottom w:val="nil"/>
                <w:right w:val="nil"/>
                <w:between w:val="nil"/>
              </w:pBdr>
              <w:rPr>
                <w:color w:val="000000"/>
                <w:sz w:val="22"/>
                <w:szCs w:val="22"/>
              </w:rPr>
            </w:pPr>
            <w:r>
              <w:rPr>
                <w:color w:val="000000"/>
                <w:sz w:val="22"/>
                <w:szCs w:val="22"/>
              </w:rPr>
              <w:t>Rector</w:t>
            </w:r>
          </w:p>
          <w:p w14:paraId="6133F93F" w14:textId="77777777" w:rsidR="0080107F" w:rsidRDefault="0080107F">
            <w:pPr>
              <w:pBdr>
                <w:top w:val="nil"/>
                <w:left w:val="nil"/>
                <w:bottom w:val="nil"/>
                <w:right w:val="nil"/>
                <w:between w:val="nil"/>
              </w:pBdr>
              <w:rPr>
                <w:color w:val="000000"/>
                <w:sz w:val="22"/>
                <w:szCs w:val="22"/>
              </w:rPr>
            </w:pPr>
          </w:p>
          <w:p w14:paraId="21EDD276" w14:textId="77777777" w:rsidR="0080107F" w:rsidRDefault="0080107F">
            <w:pPr>
              <w:pBdr>
                <w:top w:val="nil"/>
                <w:left w:val="nil"/>
                <w:bottom w:val="nil"/>
                <w:right w:val="nil"/>
                <w:between w:val="nil"/>
              </w:pBdr>
              <w:rPr>
                <w:color w:val="000000"/>
                <w:sz w:val="22"/>
                <w:szCs w:val="22"/>
              </w:rPr>
            </w:pPr>
          </w:p>
          <w:p w14:paraId="3BAFB3E9" w14:textId="77777777" w:rsidR="0080107F" w:rsidRDefault="00446509">
            <w:pPr>
              <w:pBdr>
                <w:top w:val="nil"/>
                <w:left w:val="nil"/>
                <w:bottom w:val="nil"/>
                <w:right w:val="nil"/>
                <w:between w:val="nil"/>
              </w:pBdr>
              <w:rPr>
                <w:color w:val="000000"/>
                <w:sz w:val="22"/>
                <w:szCs w:val="22"/>
              </w:rPr>
            </w:pPr>
            <w:r>
              <w:rPr>
                <w:color w:val="000000"/>
                <w:sz w:val="22"/>
                <w:szCs w:val="22"/>
              </w:rPr>
              <w:t>_____________________________________</w:t>
            </w:r>
          </w:p>
          <w:p w14:paraId="5E95D094" w14:textId="77777777" w:rsidR="0080107F" w:rsidRDefault="00446509">
            <w:pPr>
              <w:pBdr>
                <w:top w:val="nil"/>
                <w:left w:val="nil"/>
                <w:bottom w:val="nil"/>
                <w:right w:val="nil"/>
                <w:between w:val="nil"/>
              </w:pBdr>
              <w:rPr>
                <w:color w:val="000000"/>
                <w:sz w:val="22"/>
                <w:szCs w:val="22"/>
              </w:rPr>
            </w:pPr>
            <w:r>
              <w:rPr>
                <w:color w:val="000000"/>
                <w:sz w:val="22"/>
                <w:szCs w:val="22"/>
              </w:rPr>
              <w:t>Date</w:t>
            </w:r>
          </w:p>
          <w:p w14:paraId="346F9CED" w14:textId="77777777" w:rsidR="0080107F" w:rsidRDefault="0080107F">
            <w:pPr>
              <w:pBdr>
                <w:top w:val="nil"/>
                <w:left w:val="nil"/>
                <w:bottom w:val="nil"/>
                <w:right w:val="nil"/>
                <w:between w:val="nil"/>
              </w:pBdr>
              <w:rPr>
                <w:color w:val="000000"/>
                <w:sz w:val="22"/>
                <w:szCs w:val="22"/>
              </w:rPr>
            </w:pPr>
          </w:p>
        </w:tc>
      </w:tr>
      <w:tr w:rsidR="000E7280" w14:paraId="27FBC2E3" w14:textId="77777777">
        <w:trPr>
          <w:trHeight w:val="3500"/>
        </w:trPr>
        <w:tc>
          <w:tcPr>
            <w:tcW w:w="4686" w:type="dxa"/>
          </w:tcPr>
          <w:p w14:paraId="64C6A470" w14:textId="77777777" w:rsidR="000E7280" w:rsidRDefault="000E7280" w:rsidP="000E7280">
            <w:pPr>
              <w:pBdr>
                <w:top w:val="nil"/>
                <w:left w:val="nil"/>
                <w:bottom w:val="nil"/>
                <w:right w:val="nil"/>
                <w:between w:val="nil"/>
              </w:pBdr>
              <w:rPr>
                <w:color w:val="000000"/>
                <w:sz w:val="22"/>
                <w:szCs w:val="22"/>
              </w:rPr>
            </w:pPr>
          </w:p>
          <w:p w14:paraId="039EA9CC" w14:textId="77777777" w:rsidR="000E7280" w:rsidRDefault="000E7280" w:rsidP="000E7280">
            <w:pPr>
              <w:pBdr>
                <w:top w:val="nil"/>
                <w:left w:val="nil"/>
                <w:bottom w:val="nil"/>
                <w:right w:val="nil"/>
                <w:between w:val="nil"/>
              </w:pBdr>
              <w:rPr>
                <w:color w:val="000000"/>
                <w:sz w:val="22"/>
                <w:szCs w:val="22"/>
              </w:rPr>
            </w:pPr>
          </w:p>
          <w:p w14:paraId="77CD0A06" w14:textId="77777777" w:rsidR="000E7280" w:rsidRDefault="000E7280" w:rsidP="000E7280">
            <w:pPr>
              <w:pBdr>
                <w:top w:val="nil"/>
                <w:left w:val="nil"/>
                <w:bottom w:val="nil"/>
                <w:right w:val="nil"/>
                <w:between w:val="nil"/>
              </w:pBdr>
              <w:rPr>
                <w:color w:val="000000"/>
                <w:sz w:val="22"/>
                <w:szCs w:val="22"/>
              </w:rPr>
            </w:pPr>
          </w:p>
          <w:p w14:paraId="1827A90F" w14:textId="77777777" w:rsidR="000E7280" w:rsidRDefault="000E7280" w:rsidP="000E7280">
            <w:pPr>
              <w:pBdr>
                <w:top w:val="nil"/>
                <w:left w:val="nil"/>
                <w:bottom w:val="nil"/>
                <w:right w:val="nil"/>
                <w:between w:val="nil"/>
              </w:pBdr>
              <w:rPr>
                <w:color w:val="000000"/>
                <w:sz w:val="22"/>
                <w:szCs w:val="22"/>
              </w:rPr>
            </w:pPr>
          </w:p>
          <w:p w14:paraId="631B86D5" w14:textId="77777777" w:rsidR="000E7280" w:rsidRDefault="000E7280" w:rsidP="000E7280">
            <w:pPr>
              <w:pBdr>
                <w:top w:val="nil"/>
                <w:left w:val="nil"/>
                <w:bottom w:val="nil"/>
                <w:right w:val="nil"/>
                <w:between w:val="nil"/>
              </w:pBdr>
              <w:rPr>
                <w:color w:val="000000"/>
                <w:sz w:val="22"/>
                <w:szCs w:val="22"/>
              </w:rPr>
            </w:pPr>
          </w:p>
          <w:p w14:paraId="11341EC5" w14:textId="1006774D" w:rsidR="000E7280" w:rsidRDefault="000E7280" w:rsidP="000E7280">
            <w:pPr>
              <w:pBdr>
                <w:top w:val="nil"/>
                <w:left w:val="nil"/>
                <w:bottom w:val="nil"/>
                <w:right w:val="nil"/>
                <w:between w:val="nil"/>
              </w:pBdr>
              <w:rPr>
                <w:color w:val="000000"/>
                <w:sz w:val="22"/>
                <w:szCs w:val="22"/>
              </w:rPr>
            </w:pPr>
            <w:r>
              <w:rPr>
                <w:color w:val="000000"/>
                <w:sz w:val="22"/>
                <w:szCs w:val="22"/>
              </w:rPr>
              <w:t>_______________________________________</w:t>
            </w:r>
          </w:p>
          <w:p w14:paraId="530EE2DF" w14:textId="77777777" w:rsidR="000E7280" w:rsidRPr="000E7280" w:rsidRDefault="000E7280" w:rsidP="000E7280">
            <w:pPr>
              <w:jc w:val="both"/>
              <w:rPr>
                <w:sz w:val="22"/>
                <w:szCs w:val="22"/>
              </w:rPr>
            </w:pPr>
            <w:r w:rsidRPr="000E7280">
              <w:rPr>
                <w:sz w:val="22"/>
                <w:szCs w:val="22"/>
              </w:rPr>
              <w:t>Prof. Dr. Erik Schkommodau</w:t>
            </w:r>
          </w:p>
          <w:p w14:paraId="7D22715B" w14:textId="77777777" w:rsidR="000E7280" w:rsidRPr="000E7280" w:rsidRDefault="000E7280" w:rsidP="000E7280">
            <w:pPr>
              <w:jc w:val="both"/>
              <w:rPr>
                <w:sz w:val="22"/>
                <w:szCs w:val="22"/>
              </w:rPr>
            </w:pPr>
            <w:r w:rsidRPr="000E7280">
              <w:rPr>
                <w:sz w:val="22"/>
                <w:szCs w:val="22"/>
              </w:rPr>
              <w:t>Head of Institute for Medical Engineering</w:t>
            </w:r>
          </w:p>
          <w:p w14:paraId="2D63A2ED" w14:textId="77777777" w:rsidR="000E7280" w:rsidRPr="000E7280" w:rsidRDefault="000E7280" w:rsidP="000E7280">
            <w:pPr>
              <w:jc w:val="both"/>
              <w:rPr>
                <w:sz w:val="22"/>
                <w:szCs w:val="22"/>
              </w:rPr>
            </w:pPr>
            <w:r w:rsidRPr="000E7280">
              <w:rPr>
                <w:sz w:val="22"/>
                <w:szCs w:val="22"/>
              </w:rPr>
              <w:t>and Medical Informatics</w:t>
            </w:r>
          </w:p>
          <w:p w14:paraId="45A6342A" w14:textId="626E231B" w:rsidR="000E7280" w:rsidRDefault="000E7280" w:rsidP="000E7280">
            <w:pPr>
              <w:pBdr>
                <w:top w:val="nil"/>
                <w:left w:val="nil"/>
                <w:bottom w:val="nil"/>
                <w:right w:val="nil"/>
                <w:between w:val="nil"/>
              </w:pBdr>
              <w:rPr>
                <w:sz w:val="22"/>
                <w:szCs w:val="22"/>
              </w:rPr>
            </w:pPr>
            <w:r w:rsidRPr="000E7280">
              <w:rPr>
                <w:sz w:val="22"/>
                <w:szCs w:val="22"/>
              </w:rPr>
              <w:t>FHNW School of Life Sciences</w:t>
            </w:r>
          </w:p>
          <w:p w14:paraId="7688AB38" w14:textId="77777777" w:rsidR="000E7280" w:rsidRDefault="000E7280" w:rsidP="000E7280">
            <w:pPr>
              <w:pBdr>
                <w:top w:val="nil"/>
                <w:left w:val="nil"/>
                <w:bottom w:val="nil"/>
                <w:right w:val="nil"/>
                <w:between w:val="nil"/>
              </w:pBdr>
              <w:rPr>
                <w:color w:val="000000"/>
                <w:sz w:val="22"/>
                <w:szCs w:val="22"/>
              </w:rPr>
            </w:pPr>
          </w:p>
          <w:p w14:paraId="2943AAB5" w14:textId="77777777" w:rsidR="000E7280" w:rsidRDefault="000E7280" w:rsidP="000E7280">
            <w:pPr>
              <w:pBdr>
                <w:top w:val="nil"/>
                <w:left w:val="nil"/>
                <w:bottom w:val="nil"/>
                <w:right w:val="nil"/>
                <w:between w:val="nil"/>
              </w:pBdr>
              <w:rPr>
                <w:color w:val="000000"/>
                <w:sz w:val="22"/>
                <w:szCs w:val="22"/>
              </w:rPr>
            </w:pPr>
          </w:p>
          <w:p w14:paraId="741D7CA6" w14:textId="77777777" w:rsidR="000E7280" w:rsidRDefault="000E7280" w:rsidP="000E7280">
            <w:pPr>
              <w:pBdr>
                <w:top w:val="nil"/>
                <w:left w:val="nil"/>
                <w:bottom w:val="nil"/>
                <w:right w:val="nil"/>
                <w:between w:val="nil"/>
              </w:pBdr>
              <w:rPr>
                <w:color w:val="000000"/>
                <w:sz w:val="22"/>
                <w:szCs w:val="22"/>
              </w:rPr>
            </w:pPr>
            <w:r>
              <w:rPr>
                <w:color w:val="000000"/>
                <w:sz w:val="22"/>
                <w:szCs w:val="22"/>
              </w:rPr>
              <w:t>_______________________</w:t>
            </w:r>
          </w:p>
          <w:p w14:paraId="2A43EF81" w14:textId="77777777" w:rsidR="000E7280" w:rsidRDefault="000E7280" w:rsidP="000E7280">
            <w:pPr>
              <w:pBdr>
                <w:top w:val="nil"/>
                <w:left w:val="nil"/>
                <w:bottom w:val="nil"/>
                <w:right w:val="nil"/>
                <w:between w:val="nil"/>
              </w:pBdr>
              <w:rPr>
                <w:color w:val="000000"/>
                <w:sz w:val="22"/>
                <w:szCs w:val="22"/>
              </w:rPr>
            </w:pPr>
            <w:r>
              <w:rPr>
                <w:color w:val="000000"/>
                <w:sz w:val="22"/>
                <w:szCs w:val="22"/>
              </w:rPr>
              <w:t>Date</w:t>
            </w:r>
          </w:p>
          <w:p w14:paraId="1F939798" w14:textId="77777777" w:rsidR="000E7280" w:rsidRDefault="000E7280">
            <w:pPr>
              <w:pBdr>
                <w:top w:val="nil"/>
                <w:left w:val="nil"/>
                <w:bottom w:val="nil"/>
                <w:right w:val="nil"/>
                <w:between w:val="nil"/>
              </w:pBdr>
              <w:rPr>
                <w:color w:val="000000"/>
                <w:sz w:val="22"/>
                <w:szCs w:val="22"/>
              </w:rPr>
            </w:pPr>
          </w:p>
        </w:tc>
        <w:tc>
          <w:tcPr>
            <w:tcW w:w="4622" w:type="dxa"/>
          </w:tcPr>
          <w:p w14:paraId="7C2B662D" w14:textId="77777777" w:rsidR="000E7280" w:rsidRDefault="000E7280">
            <w:pPr>
              <w:pBdr>
                <w:top w:val="nil"/>
                <w:left w:val="nil"/>
                <w:bottom w:val="nil"/>
                <w:right w:val="nil"/>
                <w:between w:val="nil"/>
              </w:pBdr>
              <w:rPr>
                <w:color w:val="000000"/>
                <w:sz w:val="22"/>
                <w:szCs w:val="22"/>
              </w:rPr>
            </w:pPr>
          </w:p>
        </w:tc>
      </w:tr>
    </w:tbl>
    <w:p w14:paraId="1D8C62D0" w14:textId="77777777" w:rsidR="0080107F" w:rsidRDefault="0080107F">
      <w:pPr>
        <w:pBdr>
          <w:top w:val="nil"/>
          <w:left w:val="nil"/>
          <w:bottom w:val="nil"/>
          <w:right w:val="nil"/>
          <w:between w:val="nil"/>
        </w:pBdr>
        <w:jc w:val="right"/>
        <w:rPr>
          <w:color w:val="000000"/>
          <w:sz w:val="16"/>
          <w:szCs w:val="16"/>
        </w:rPr>
      </w:pPr>
    </w:p>
    <w:sectPr w:rsidR="0080107F">
      <w:type w:val="continuous"/>
      <w:pgSz w:w="11900" w:h="16820"/>
      <w:pgMar w:top="1296" w:right="1296" w:bottom="1296"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1F06" w14:textId="77777777" w:rsidR="00DE65E2" w:rsidRDefault="00DE65E2">
      <w:r>
        <w:separator/>
      </w:r>
    </w:p>
  </w:endnote>
  <w:endnote w:type="continuationSeparator" w:id="0">
    <w:p w14:paraId="1DF4D1EE" w14:textId="77777777" w:rsidR="00DE65E2" w:rsidRDefault="00DE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F1B4" w14:textId="77777777" w:rsidR="0080107F" w:rsidRDefault="0044650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DE65E2">
      <w:rPr>
        <w:color w:val="000000"/>
      </w:rPr>
      <w:fldChar w:fldCharType="separate"/>
    </w:r>
    <w:r>
      <w:rPr>
        <w:color w:val="000000"/>
      </w:rPr>
      <w:fldChar w:fldCharType="end"/>
    </w:r>
  </w:p>
  <w:p w14:paraId="65C24CF9" w14:textId="77777777" w:rsidR="0080107F" w:rsidRDefault="0080107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5C4B" w14:textId="77777777" w:rsidR="0080107F" w:rsidRDefault="0044650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36A06">
      <w:rPr>
        <w:noProof/>
        <w:color w:val="000000"/>
      </w:rPr>
      <w:t>2</w:t>
    </w:r>
    <w:r>
      <w:rPr>
        <w:color w:val="000000"/>
      </w:rPr>
      <w:fldChar w:fldCharType="end"/>
    </w:r>
  </w:p>
  <w:p w14:paraId="732BB0A4" w14:textId="77777777" w:rsidR="0080107F" w:rsidRDefault="0080107F">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BBC3" w14:textId="77777777" w:rsidR="00DE65E2" w:rsidRDefault="00DE65E2">
      <w:r>
        <w:separator/>
      </w:r>
    </w:p>
  </w:footnote>
  <w:footnote w:type="continuationSeparator" w:id="0">
    <w:p w14:paraId="7FF77AE5" w14:textId="77777777" w:rsidR="00DE65E2" w:rsidRDefault="00DE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DDCD" w14:textId="40DEC177" w:rsidR="0080107F" w:rsidRDefault="009954F6">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59264" behindDoc="0" locked="0" layoutInCell="1" allowOverlap="1" wp14:anchorId="06EF94AA" wp14:editId="2A2A03B1">
          <wp:simplePos x="0" y="0"/>
          <wp:positionH relativeFrom="margin">
            <wp:posOffset>2138680</wp:posOffset>
          </wp:positionH>
          <wp:positionV relativeFrom="paragraph">
            <wp:posOffset>180975</wp:posOffset>
          </wp:positionV>
          <wp:extent cx="3762375" cy="361950"/>
          <wp:effectExtent l="0" t="0" r="9525" b="0"/>
          <wp:wrapNone/>
          <wp:docPr id="144329997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361950"/>
                  </a:xfrm>
                  <a:prstGeom prst="rect">
                    <a:avLst/>
                  </a:prstGeom>
                  <a:noFill/>
                  <a:ln>
                    <a:noFill/>
                  </a:ln>
                </pic:spPr>
              </pic:pic>
            </a:graphicData>
          </a:graphic>
        </wp:anchor>
      </w:drawing>
    </w:r>
    <w:r w:rsidR="00446509">
      <w:rPr>
        <w:noProof/>
        <w:color w:val="000000"/>
      </w:rPr>
      <w:drawing>
        <wp:inline distT="0" distB="0" distL="0" distR="0" wp14:anchorId="0BA43D87" wp14:editId="02665CEF">
          <wp:extent cx="1819486" cy="79048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19486" cy="790488"/>
                  </a:xfrm>
                  <a:prstGeom prst="rect">
                    <a:avLst/>
                  </a:prstGeom>
                  <a:ln/>
                </pic:spPr>
              </pic:pic>
            </a:graphicData>
          </a:graphic>
        </wp:inline>
      </w:drawing>
    </w:r>
  </w:p>
  <w:p w14:paraId="33E5BB18" w14:textId="77777777" w:rsidR="0080107F" w:rsidRDefault="0080107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149F" w14:textId="10F203EF" w:rsidR="0080107F" w:rsidRDefault="009954F6">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58240" behindDoc="0" locked="0" layoutInCell="1" allowOverlap="1" wp14:anchorId="416E410C" wp14:editId="2F8D9FB9">
          <wp:simplePos x="0" y="0"/>
          <wp:positionH relativeFrom="margin">
            <wp:align>right</wp:align>
          </wp:positionH>
          <wp:positionV relativeFrom="paragraph">
            <wp:posOffset>190500</wp:posOffset>
          </wp:positionV>
          <wp:extent cx="3762375" cy="360045"/>
          <wp:effectExtent l="0" t="0" r="9525" b="1905"/>
          <wp:wrapNone/>
          <wp:docPr id="121831181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11813" name="Grafik 1218311813"/>
                  <pic:cNvPicPr/>
                </pic:nvPicPr>
                <pic:blipFill>
                  <a:blip r:embed="rId1">
                    <a:extLst>
                      <a:ext uri="{28A0092B-C50C-407E-A947-70E740481C1C}">
                        <a14:useLocalDpi xmlns:a14="http://schemas.microsoft.com/office/drawing/2010/main" val="0"/>
                      </a:ext>
                    </a:extLst>
                  </a:blip>
                  <a:stretch>
                    <a:fillRect/>
                  </a:stretch>
                </pic:blipFill>
                <pic:spPr>
                  <a:xfrm>
                    <a:off x="0" y="0"/>
                    <a:ext cx="3762375" cy="360045"/>
                  </a:xfrm>
                  <a:prstGeom prst="rect">
                    <a:avLst/>
                  </a:prstGeom>
                </pic:spPr>
              </pic:pic>
            </a:graphicData>
          </a:graphic>
        </wp:anchor>
      </w:drawing>
    </w:r>
    <w:r w:rsidR="00446509">
      <w:rPr>
        <w:noProof/>
        <w:color w:val="000000"/>
      </w:rPr>
      <w:drawing>
        <wp:inline distT="0" distB="0" distL="0" distR="0" wp14:anchorId="416DDABB" wp14:editId="5F4FA426">
          <wp:extent cx="1786893" cy="77632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86893" cy="776328"/>
                  </a:xfrm>
                  <a:prstGeom prst="rect">
                    <a:avLst/>
                  </a:prstGeom>
                  <a:ln/>
                </pic:spPr>
              </pic:pic>
            </a:graphicData>
          </a:graphic>
        </wp:inline>
      </w:drawing>
    </w:r>
    <w:r>
      <w:rPr>
        <w:color w:val="000000"/>
      </w:rPr>
      <w:tab/>
    </w:r>
  </w:p>
  <w:p w14:paraId="6B19C025" w14:textId="77777777" w:rsidR="0080107F" w:rsidRDefault="0080107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977"/>
    <w:multiLevelType w:val="multilevel"/>
    <w:tmpl w:val="87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D930B0"/>
    <w:multiLevelType w:val="multilevel"/>
    <w:tmpl w:val="063205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4C207C"/>
    <w:multiLevelType w:val="multilevel"/>
    <w:tmpl w:val="E1B0BA60"/>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15:restartNumberingAfterBreak="0">
    <w:nsid w:val="3B2B1992"/>
    <w:multiLevelType w:val="multilevel"/>
    <w:tmpl w:val="6BD2E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1D0AF6"/>
    <w:multiLevelType w:val="multilevel"/>
    <w:tmpl w:val="58BC8F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3B3443"/>
    <w:multiLevelType w:val="multilevel"/>
    <w:tmpl w:val="471A0A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923E22"/>
    <w:multiLevelType w:val="multilevel"/>
    <w:tmpl w:val="D88037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7F"/>
    <w:rsid w:val="000577BC"/>
    <w:rsid w:val="00073E50"/>
    <w:rsid w:val="000E7280"/>
    <w:rsid w:val="001B03CB"/>
    <w:rsid w:val="00231B1A"/>
    <w:rsid w:val="00326191"/>
    <w:rsid w:val="00352598"/>
    <w:rsid w:val="003878CA"/>
    <w:rsid w:val="00446509"/>
    <w:rsid w:val="00471B14"/>
    <w:rsid w:val="005B736E"/>
    <w:rsid w:val="00636A06"/>
    <w:rsid w:val="00662BE7"/>
    <w:rsid w:val="006D1FC8"/>
    <w:rsid w:val="007F3D7D"/>
    <w:rsid w:val="0080107F"/>
    <w:rsid w:val="00836C60"/>
    <w:rsid w:val="009954F6"/>
    <w:rsid w:val="009F6833"/>
    <w:rsid w:val="00A0702D"/>
    <w:rsid w:val="00A312CE"/>
    <w:rsid w:val="00A94996"/>
    <w:rsid w:val="00AD0A95"/>
    <w:rsid w:val="00BF5849"/>
    <w:rsid w:val="00C7107F"/>
    <w:rsid w:val="00C7570F"/>
    <w:rsid w:val="00C87982"/>
    <w:rsid w:val="00C927A5"/>
    <w:rsid w:val="00CB52B9"/>
    <w:rsid w:val="00DE65E2"/>
    <w:rsid w:val="00E7576D"/>
    <w:rsid w:val="00F826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8B404"/>
  <w15:docId w15:val="{DCA18357-2D99-4300-A190-DF9307C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C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rsid w:val="00DD0FCC"/>
    <w:pPr>
      <w:tabs>
        <w:tab w:val="center" w:pos="4680"/>
        <w:tab w:val="right" w:pos="9360"/>
      </w:tabs>
    </w:pPr>
  </w:style>
  <w:style w:type="paragraph" w:styleId="Encabezado">
    <w:name w:val="header"/>
    <w:basedOn w:val="Normal"/>
    <w:link w:val="EncabezadoCar"/>
    <w:uiPriority w:val="99"/>
    <w:rsid w:val="00DD0FCC"/>
    <w:pPr>
      <w:tabs>
        <w:tab w:val="center" w:pos="4680"/>
        <w:tab w:val="right" w:pos="9360"/>
      </w:tabs>
    </w:pPr>
  </w:style>
  <w:style w:type="character" w:styleId="Nmerodepgina">
    <w:name w:val="page number"/>
    <w:rsid w:val="00ED0E69"/>
  </w:style>
  <w:style w:type="paragraph" w:styleId="Textodeglobo">
    <w:name w:val="Balloon Text"/>
    <w:basedOn w:val="Normal"/>
    <w:link w:val="TextodegloboCar"/>
    <w:rsid w:val="005B1507"/>
    <w:rPr>
      <w:rFonts w:ascii="Tahoma" w:hAnsi="Tahoma" w:cs="Tahoma"/>
      <w:sz w:val="16"/>
      <w:szCs w:val="16"/>
    </w:rPr>
  </w:style>
  <w:style w:type="character" w:customStyle="1" w:styleId="TextodegloboCar">
    <w:name w:val="Texto de globo Car"/>
    <w:basedOn w:val="Fuentedeprrafopredeter"/>
    <w:link w:val="Textodeglobo"/>
    <w:rsid w:val="005B1507"/>
    <w:rPr>
      <w:rFonts w:ascii="Tahoma" w:hAnsi="Tahoma" w:cs="Tahoma"/>
      <w:sz w:val="16"/>
      <w:szCs w:val="16"/>
    </w:rPr>
  </w:style>
  <w:style w:type="paragraph" w:styleId="Prrafodelista">
    <w:name w:val="List Paragraph"/>
    <w:basedOn w:val="Normal"/>
    <w:uiPriority w:val="34"/>
    <w:qFormat/>
    <w:rsid w:val="00291D72"/>
    <w:pPr>
      <w:ind w:left="720"/>
      <w:contextualSpacing/>
    </w:pPr>
  </w:style>
  <w:style w:type="character" w:styleId="Refdecomentario">
    <w:name w:val="annotation reference"/>
    <w:basedOn w:val="Fuentedeprrafopredeter"/>
    <w:rsid w:val="00F848D8"/>
    <w:rPr>
      <w:sz w:val="16"/>
      <w:szCs w:val="16"/>
    </w:rPr>
  </w:style>
  <w:style w:type="paragraph" w:styleId="Textocomentario">
    <w:name w:val="annotation text"/>
    <w:basedOn w:val="Normal"/>
    <w:link w:val="TextocomentarioCar"/>
    <w:rsid w:val="00F848D8"/>
    <w:rPr>
      <w:sz w:val="20"/>
      <w:szCs w:val="20"/>
    </w:rPr>
  </w:style>
  <w:style w:type="character" w:customStyle="1" w:styleId="TextocomentarioCar">
    <w:name w:val="Texto comentario Car"/>
    <w:basedOn w:val="Fuentedeprrafopredeter"/>
    <w:link w:val="Textocomentario"/>
    <w:rsid w:val="00F848D8"/>
  </w:style>
  <w:style w:type="paragraph" w:styleId="Asuntodelcomentario">
    <w:name w:val="annotation subject"/>
    <w:basedOn w:val="Textocomentario"/>
    <w:next w:val="Textocomentario"/>
    <w:link w:val="AsuntodelcomentarioCar"/>
    <w:rsid w:val="00F848D8"/>
    <w:rPr>
      <w:b/>
      <w:bCs/>
    </w:rPr>
  </w:style>
  <w:style w:type="character" w:customStyle="1" w:styleId="AsuntodelcomentarioCar">
    <w:name w:val="Asunto del comentario Car"/>
    <w:basedOn w:val="TextocomentarioCar"/>
    <w:link w:val="Asuntodelcomentario"/>
    <w:rsid w:val="00F848D8"/>
    <w:rPr>
      <w:b/>
      <w:bCs/>
    </w:rPr>
  </w:style>
  <w:style w:type="paragraph" w:styleId="Sinespaciado">
    <w:name w:val="No Spacing"/>
    <w:uiPriority w:val="1"/>
    <w:qFormat/>
    <w:rsid w:val="00233625"/>
  </w:style>
  <w:style w:type="paragraph" w:styleId="Textonotapie">
    <w:name w:val="footnote text"/>
    <w:basedOn w:val="Normal"/>
    <w:link w:val="TextonotapieCar"/>
    <w:uiPriority w:val="99"/>
    <w:unhideWhenUsed/>
    <w:rsid w:val="00A07C85"/>
    <w:rPr>
      <w:rFonts w:eastAsia="SimSun"/>
      <w:sz w:val="20"/>
      <w:szCs w:val="20"/>
      <w:lang w:val="pt-BR" w:eastAsia="pt-BR"/>
    </w:rPr>
  </w:style>
  <w:style w:type="character" w:customStyle="1" w:styleId="TextonotapieCar">
    <w:name w:val="Texto nota pie Car"/>
    <w:basedOn w:val="Fuentedeprrafopredeter"/>
    <w:link w:val="Textonotapie"/>
    <w:uiPriority w:val="99"/>
    <w:rsid w:val="00A07C85"/>
    <w:rPr>
      <w:rFonts w:eastAsia="SimSun"/>
      <w:lang w:val="pt-BR" w:eastAsia="pt-BR"/>
    </w:rPr>
  </w:style>
  <w:style w:type="character" w:styleId="Refdenotaalpie">
    <w:name w:val="footnote reference"/>
    <w:basedOn w:val="Fuentedeprrafopredeter"/>
    <w:uiPriority w:val="99"/>
    <w:unhideWhenUsed/>
    <w:rsid w:val="00A07C85"/>
    <w:rPr>
      <w:vertAlign w:val="superscript"/>
    </w:rPr>
  </w:style>
  <w:style w:type="table" w:styleId="Tablaconcuadrcula">
    <w:name w:val="Table Grid"/>
    <w:basedOn w:val="Tablanormal"/>
    <w:rsid w:val="00F7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C47022"/>
    <w:rPr>
      <w:sz w:val="24"/>
      <w:szCs w:val="24"/>
    </w:rPr>
  </w:style>
  <w:style w:type="character" w:styleId="Hipervnculo">
    <w:name w:val="Hyperlink"/>
    <w:basedOn w:val="Fuentedeprrafopredeter"/>
    <w:unhideWhenUsed/>
    <w:rsid w:val="00975F1D"/>
    <w:rPr>
      <w:color w:val="0000FF" w:themeColor="hyperlink"/>
      <w:u w:val="single"/>
    </w:rPr>
  </w:style>
  <w:style w:type="character" w:customStyle="1" w:styleId="Mencinsinresolver1">
    <w:name w:val="Mención sin resolver1"/>
    <w:basedOn w:val="Fuentedeprrafopredeter"/>
    <w:uiPriority w:val="99"/>
    <w:semiHidden/>
    <w:unhideWhenUsed/>
    <w:rsid w:val="00975F1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Revisin">
    <w:name w:val="Revision"/>
    <w:hidden/>
    <w:uiPriority w:val="99"/>
    <w:semiHidden/>
    <w:rsid w:val="00636A06"/>
  </w:style>
  <w:style w:type="character" w:styleId="Mencinsinresolver">
    <w:name w:val="Unresolved Mention"/>
    <w:basedOn w:val="Fuentedeprrafopredeter"/>
    <w:uiPriority w:val="99"/>
    <w:semiHidden/>
    <w:unhideWhenUsed/>
    <w:rsid w:val="00636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39267">
      <w:bodyDiv w:val="1"/>
      <w:marLeft w:val="0"/>
      <w:marRight w:val="0"/>
      <w:marTop w:val="0"/>
      <w:marBottom w:val="0"/>
      <w:divBdr>
        <w:top w:val="none" w:sz="0" w:space="0" w:color="auto"/>
        <w:left w:val="none" w:sz="0" w:space="0" w:color="auto"/>
        <w:bottom w:val="none" w:sz="0" w:space="0" w:color="auto"/>
        <w:right w:val="none" w:sz="0" w:space="0" w:color="auto"/>
      </w:divBdr>
    </w:div>
    <w:div w:id="1558085457">
      <w:bodyDiv w:val="1"/>
      <w:marLeft w:val="0"/>
      <w:marRight w:val="0"/>
      <w:marTop w:val="0"/>
      <w:marBottom w:val="0"/>
      <w:divBdr>
        <w:top w:val="none" w:sz="0" w:space="0" w:color="auto"/>
        <w:left w:val="none" w:sz="0" w:space="0" w:color="auto"/>
        <w:bottom w:val="none" w:sz="0" w:space="0" w:color="auto"/>
        <w:right w:val="none" w:sz="0" w:space="0" w:color="auto"/>
      </w:divBdr>
    </w:div>
    <w:div w:id="1816950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nsam.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cionales@unsam.edu.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hnw.ch/en/degree-programmes/lifesciences/internationa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rnational.lifesciences@fhnw.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erWhiuk6SmK/ghKANDddW2MsXw==">AMUW2mXr48rnDl/QdbNCK/5z9kB0dttt9IscZbc87ZIT84V4yU+C8nWHUDsiRbXB4srddhW3p8GMH+sh+/ezFZGbzP7J/cQUwVb6CRBys2aTNNE7krnC247e8OHdrNI72ms1QE2XsOYtVRC6Dy3t5UNk0hyPrVINKE8ZuR+GjCFwGAZ+mZKdXD6+cVMawXnOgJjhDklMkxiU5kDxyD2AgwmWo+pML5jYkQuwmnQpCW9HOhcZjO/9Nz4rn2PgrVucd0f32vQfgWsTv2Aa7QicteRHzJ4R2yOxibmp56LMqrVg7W4+ttMiIU3v0KzN5nofCcKUUv+rK/gVPYuHqVEfvwByZPJl2Isj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1420</Words>
  <Characters>7816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Fachhochschule Nordwestschweiz</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ortega</dc:creator>
  <cp:lastModifiedBy>Enrique Martinez</cp:lastModifiedBy>
  <cp:revision>7</cp:revision>
  <dcterms:created xsi:type="dcterms:W3CDTF">2025-01-21T10:11:00Z</dcterms:created>
  <dcterms:modified xsi:type="dcterms:W3CDTF">2025-02-06T12:13:00Z</dcterms:modified>
</cp:coreProperties>
</file>